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cs="Calibri" w:cstheme="minorHAnsi"/>
          <w:b/>
          <w:sz w:val="26"/>
          <w:szCs w:val="26"/>
        </w:rPr>
      </w:pPr>
      <w:r>
        <w:rPr>
          <w:rFonts w:cs="Calibri" w:cstheme="minorHAnsi"/>
          <w:b/>
          <w:sz w:val="26"/>
          <w:szCs w:val="26"/>
        </w:rPr>
        <w:t>Informacja dla sygnalistów zgodnie z art. 48 ustawy z dnia 14 czerwca 2024 r.</w:t>
        <w:br/>
        <w:t>o ochronie sygnalistów (Dz. U. 2024 r. poz. 928)</w:t>
      </w:r>
    </w:p>
    <w:p>
      <w:pPr>
        <w:pStyle w:val="ListParagraph"/>
        <w:jc w:val="center"/>
        <w:rPr>
          <w:rFonts w:cs="Calibri" w:cstheme="minorHAnsi"/>
          <w:b/>
          <w:i/>
          <w:i/>
          <w:color w:themeColor="accent6" w:val="70AD47"/>
          <w:sz w:val="26"/>
          <w:szCs w:val="26"/>
        </w:rPr>
      </w:pPr>
      <w:r>
        <w:rPr>
          <w:rFonts w:cs="Calibri" w:cstheme="minorHAnsi"/>
          <w:b/>
          <w:i/>
          <w:color w:themeColor="accent6" w:val="70AD47"/>
          <w:sz w:val="26"/>
          <w:szCs w:val="26"/>
        </w:rPr>
        <w:t>Sygnalistą jest osoba fizyczna, która zgłasza lub ujawnia publicznie informację o naruszeniu prawa uzyskaną w kontekście związanym z pracą.</w:t>
      </w:r>
    </w:p>
    <w:p>
      <w:pPr>
        <w:pStyle w:val="Normal"/>
        <w:ind w:firstLine="708"/>
        <w:jc w:val="both"/>
        <w:rPr>
          <w:rFonts w:cs="Calibri" w:cstheme="minorHAnsi"/>
          <w:sz w:val="24"/>
          <w:szCs w:val="24"/>
        </w:rPr>
      </w:pPr>
      <w:r>
        <w:rPr>
          <w:rFonts w:cs="Calibri" w:cstheme="minorHAnsi"/>
          <w:sz w:val="24"/>
          <w:szCs w:val="24"/>
        </w:rPr>
        <w:t xml:space="preserve">Z dniem 25 grudnia 2024 r. w Komendzie </w:t>
      </w:r>
      <w:r>
        <w:rPr>
          <w:rFonts w:cs="Calibri" w:cstheme="minorHAnsi"/>
          <w:sz w:val="24"/>
          <w:szCs w:val="24"/>
        </w:rPr>
        <w:t>Powiatowej</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zapewnia się możliwość dokonywania zgłoszeń zewnętrznych w trybie i na warunkach określonych</w:t>
        <w:br/>
        <w:t xml:space="preserve"> w ustawie z dnia 14 czerwca 2024 r. o ochronie sygnalistów (Dz. U. 2024 r. poz. 928) </w:t>
        <w:br/>
        <w:t>– zwanej dalej ustawą.</w:t>
      </w:r>
    </w:p>
    <w:p>
      <w:pPr>
        <w:pStyle w:val="ListParagraph"/>
        <w:numPr>
          <w:ilvl w:val="0"/>
          <w:numId w:val="1"/>
        </w:numPr>
        <w:rPr>
          <w:rFonts w:cs="Calibri" w:cstheme="minorHAnsi"/>
          <w:b/>
          <w:sz w:val="24"/>
          <w:szCs w:val="24"/>
        </w:rPr>
      </w:pPr>
      <w:r>
        <w:rPr>
          <w:rFonts w:cs="Calibri" w:cstheme="minorHAnsi"/>
          <w:b/>
          <w:sz w:val="24"/>
          <w:szCs w:val="24"/>
        </w:rPr>
        <w:t>Dane kontaktowe umożliwiające dokonanie zgłoszenia zewnętrznego:</w:t>
      </w:r>
    </w:p>
    <w:p>
      <w:pPr>
        <w:pStyle w:val="ListParagraph"/>
        <w:ind w:left="993"/>
        <w:rPr>
          <w:rFonts w:eastAsia="NSimSun" w:cs="Calibri" w:cstheme="minorHAnsi"/>
          <w:iCs/>
          <w:kern w:val="2"/>
          <w:sz w:val="24"/>
          <w:szCs w:val="24"/>
          <w:lang w:eastAsia="zh-CN" w:bidi="hi-IN"/>
        </w:rPr>
      </w:pPr>
      <w:r>
        <w:rPr>
          <w:rFonts w:eastAsia="NSimSun" w:cs="Calibri" w:cstheme="minorHAnsi"/>
          <w:iCs/>
          <w:kern w:val="2"/>
          <w:sz w:val="24"/>
          <w:szCs w:val="24"/>
          <w:lang w:eastAsia="zh-CN" w:bidi="hi-IN"/>
        </w:rPr>
        <w:t>Komenda Powiatowa Policji w Ropczycach</w:t>
      </w:r>
    </w:p>
    <w:p>
      <w:pPr>
        <w:pStyle w:val="ListParagraph"/>
        <w:ind w:left="993"/>
        <w:rPr>
          <w:rFonts w:cs="Calibri" w:cstheme="minorHAnsi"/>
          <w:sz w:val="24"/>
          <w:szCs w:val="24"/>
        </w:rPr>
      </w:pPr>
      <w:r>
        <w:rPr>
          <w:rFonts w:cs="Calibri" w:cstheme="minorHAnsi"/>
          <w:sz w:val="24"/>
          <w:szCs w:val="24"/>
        </w:rPr>
        <w:t xml:space="preserve">ul. </w:t>
      </w:r>
      <w:r>
        <w:rPr>
          <w:rFonts w:cs="Calibri" w:cstheme="minorHAnsi"/>
          <w:sz w:val="24"/>
          <w:szCs w:val="24"/>
        </w:rPr>
        <w:t>Piłsudskiego 22</w:t>
      </w:r>
    </w:p>
    <w:p>
      <w:pPr>
        <w:pStyle w:val="ListParagraph"/>
        <w:ind w:left="993"/>
        <w:jc w:val="both"/>
        <w:rPr>
          <w:rFonts w:cs="Calibri" w:cstheme="minorHAnsi"/>
          <w:sz w:val="24"/>
          <w:szCs w:val="24"/>
        </w:rPr>
      </w:pPr>
      <w:r>
        <w:rPr>
          <w:rFonts w:cs="Calibri" w:cstheme="minorHAnsi"/>
          <w:sz w:val="24"/>
          <w:szCs w:val="24"/>
        </w:rPr>
        <w:t>3</w:t>
      </w:r>
      <w:r>
        <w:rPr>
          <w:rFonts w:cs="Calibri" w:cstheme="minorHAnsi"/>
          <w:sz w:val="24"/>
          <w:szCs w:val="24"/>
        </w:rPr>
        <w:t>9-100</w:t>
      </w:r>
      <w:r>
        <w:rPr>
          <w:rFonts w:cs="Calibri" w:cstheme="minorHAnsi"/>
          <w:sz w:val="24"/>
          <w:szCs w:val="24"/>
        </w:rPr>
        <w:t xml:space="preserve"> R</w:t>
      </w:r>
      <w:r>
        <w:rPr>
          <w:rFonts w:cs="Calibri" w:cstheme="minorHAnsi"/>
          <w:sz w:val="24"/>
          <w:szCs w:val="24"/>
        </w:rPr>
        <w:t>opczyce</w:t>
      </w:r>
      <w:r>
        <w:rPr>
          <w:rFonts w:cs="Calibri" w:cstheme="minorHAnsi"/>
          <w:sz w:val="24"/>
          <w:szCs w:val="24"/>
        </w:rPr>
        <w:t xml:space="preserve"> </w:t>
      </w:r>
    </w:p>
    <w:p>
      <w:pPr>
        <w:pStyle w:val="ListParagraph"/>
        <w:ind w:left="993"/>
        <w:jc w:val="both"/>
        <w:rPr>
          <w:rFonts w:cs="Calibri" w:cstheme="minorHAnsi"/>
          <w:b/>
          <w:sz w:val="24"/>
          <w:szCs w:val="24"/>
        </w:rPr>
      </w:pPr>
      <w:r>
        <w:rPr>
          <w:rFonts w:cs="Calibri" w:cstheme="minorHAnsi"/>
          <w:sz w:val="24"/>
          <w:szCs w:val="24"/>
        </w:rPr>
        <w:t>(</w:t>
      </w:r>
      <w:r>
        <w:rPr>
          <w:rFonts w:cs="Calibri" w:cstheme="minorHAnsi"/>
          <w:bCs/>
          <w:sz w:val="24"/>
          <w:szCs w:val="24"/>
        </w:rPr>
        <w:t>w zamkniętej kopercie z dopiskiem:</w:t>
      </w:r>
      <w:r>
        <w:rPr>
          <w:rFonts w:cs="Calibri" w:cstheme="minorHAnsi"/>
          <w:sz w:val="24"/>
          <w:szCs w:val="24"/>
        </w:rPr>
        <w:t xml:space="preserve"> „</w:t>
      </w:r>
      <w:r>
        <w:rPr>
          <w:rFonts w:cs="Calibri" w:cstheme="minorHAnsi"/>
          <w:b/>
          <w:sz w:val="24"/>
          <w:szCs w:val="24"/>
        </w:rPr>
        <w:t xml:space="preserve">Zgłoszenie zewnętrzne – nie otwierać </w:t>
        <w:br/>
        <w:t>w sekretariacie”)</w:t>
      </w:r>
    </w:p>
    <w:p>
      <w:pPr>
        <w:pStyle w:val="ListParagraph"/>
        <w:numPr>
          <w:ilvl w:val="0"/>
          <w:numId w:val="2"/>
        </w:numPr>
        <w:spacing w:before="120" w:after="160"/>
        <w:ind w:hanging="284" w:left="993"/>
        <w:contextualSpacing/>
        <w:jc w:val="both"/>
        <w:rPr>
          <w:rFonts w:cs="Calibri" w:cstheme="minorHAnsi"/>
          <w:sz w:val="24"/>
          <w:szCs w:val="24"/>
        </w:rPr>
      </w:pPr>
      <w:r>
        <w:rPr>
          <w:rFonts w:cs="Calibri" w:cstheme="minorHAnsi"/>
          <w:sz w:val="24"/>
          <w:szCs w:val="24"/>
        </w:rPr>
        <w:t xml:space="preserve">wiadomość e-mail: </w:t>
      </w:r>
      <w:r>
        <w:rPr>
          <w:rFonts w:cs="Calibri" w:cstheme="minorHAnsi"/>
          <w:sz w:val="24"/>
          <w:szCs w:val="24"/>
        </w:rPr>
        <w:t>sygnalista.ropczyce</w:t>
      </w:r>
      <w:hyperlink r:id="rId2">
        <w:r>
          <w:rPr>
            <w:rStyle w:val="Hyperlink"/>
            <w:rFonts w:cs="Calibri" w:cstheme="minorHAnsi"/>
            <w:color w:val="auto"/>
            <w:sz w:val="24"/>
            <w:szCs w:val="24"/>
            <w:u w:val="none"/>
          </w:rPr>
          <w:t>@rz.policja.gov.pl</w:t>
        </w:r>
      </w:hyperlink>
      <w:r>
        <w:rPr>
          <w:rFonts w:cs="Calibri" w:cstheme="minorHAnsi"/>
          <w:sz w:val="24"/>
          <w:szCs w:val="24"/>
        </w:rPr>
        <w:t xml:space="preserve"> o tytule „</w:t>
      </w:r>
      <w:r>
        <w:rPr>
          <w:rFonts w:cs="Calibri" w:cstheme="minorHAnsi"/>
          <w:b/>
          <w:sz w:val="24"/>
          <w:szCs w:val="24"/>
        </w:rPr>
        <w:t xml:space="preserve">Zgłoszenie zewnętrzne” </w:t>
        <w:br/>
      </w:r>
      <w:r>
        <w:rPr>
          <w:rFonts w:cs="Calibri" w:cstheme="minorHAnsi"/>
          <w:sz w:val="24"/>
          <w:szCs w:val="24"/>
        </w:rPr>
        <w:t xml:space="preserve"> z możliwością wykorzystania formularza, który znajduje się do pobrania na stronie Biuletynu Informacji Publicznej Komendy </w:t>
      </w:r>
      <w:r>
        <w:rPr>
          <w:rFonts w:cs="Calibri" w:cstheme="minorHAnsi"/>
          <w:sz w:val="24"/>
          <w:szCs w:val="24"/>
        </w:rPr>
        <w:t xml:space="preserve">Powiatowej </w:t>
      </w:r>
      <w:r>
        <w:rPr>
          <w:rFonts w:cs="Calibri" w:cstheme="minorHAnsi"/>
          <w:sz w:val="24"/>
          <w:szCs w:val="24"/>
        </w:rPr>
        <w:t xml:space="preserve">Policji w </w:t>
      </w:r>
      <w:r>
        <w:rPr>
          <w:rFonts w:cs="Calibri" w:cstheme="minorHAnsi"/>
          <w:sz w:val="24"/>
          <w:szCs w:val="24"/>
        </w:rPr>
        <w:t>Ropczycach</w:t>
      </w:r>
      <w:r>
        <w:rPr>
          <w:rFonts w:cs="Calibri" w:cstheme="minorHAnsi"/>
          <w:sz w:val="24"/>
          <w:szCs w:val="24"/>
        </w:rPr>
        <w:t xml:space="preserve">: </w:t>
      </w:r>
    </w:p>
    <w:p>
      <w:pPr>
        <w:pStyle w:val="ListParagraph"/>
        <w:spacing w:before="120" w:after="160"/>
        <w:ind w:left="993"/>
        <w:contextualSpacing/>
        <w:rPr>
          <w:rFonts w:cs="Calibri" w:cstheme="minorHAnsi"/>
          <w:sz w:val="24"/>
          <w:szCs w:val="24"/>
        </w:rPr>
      </w:pPr>
      <w:r>
        <w:rPr>
          <w:rStyle w:val="Hyperlink"/>
          <w:rFonts w:cs="Calibri" w:cstheme="minorHAnsi"/>
          <w:sz w:val="24"/>
          <w:szCs w:val="24"/>
        </w:rPr>
        <w:t>http://ropczyce.bip.policja.gov.pl/301/sygnalisci-procedura-zgloszen/233,Procedura-zgloszen-zewnetrznych.html</w:t>
      </w:r>
      <w:r>
        <w:rPr>
          <w:rFonts w:cs="Calibri" w:cstheme="minorHAnsi"/>
          <w:sz w:val="24"/>
          <w:szCs w:val="24"/>
        </w:rPr>
        <w:t xml:space="preserve"> </w:t>
      </w:r>
    </w:p>
    <w:p>
      <w:pPr>
        <w:pStyle w:val="ListParagraph"/>
        <w:numPr>
          <w:ilvl w:val="0"/>
          <w:numId w:val="2"/>
        </w:numPr>
        <w:spacing w:before="120" w:after="160"/>
        <w:ind w:hanging="284" w:left="993"/>
        <w:contextualSpacing/>
        <w:jc w:val="both"/>
        <w:rPr>
          <w:rFonts w:cs="Calibri" w:cstheme="minorHAnsi"/>
          <w:sz w:val="24"/>
          <w:szCs w:val="24"/>
        </w:rPr>
      </w:pPr>
      <w:r>
        <w:rPr>
          <w:rFonts w:cs="Calibri" w:cstheme="minorHAnsi"/>
          <w:sz w:val="24"/>
          <w:szCs w:val="24"/>
        </w:rPr>
        <w:t xml:space="preserve">zgłoszenia ustnego można dokonać podczas bezpośredniego spotkania z osobą upoważnioną przez Komendanta </w:t>
      </w:r>
      <w:r>
        <w:rPr>
          <w:rFonts w:cs="Calibri" w:cstheme="minorHAnsi"/>
          <w:sz w:val="24"/>
          <w:szCs w:val="24"/>
        </w:rPr>
        <w:t>Powiatowego</w:t>
      </w:r>
      <w:r>
        <w:rPr>
          <w:rFonts w:cs="Calibri" w:cstheme="minorHAnsi"/>
          <w:sz w:val="24"/>
          <w:szCs w:val="24"/>
        </w:rPr>
        <w:t xml:space="preserve"> Policji w </w:t>
      </w:r>
      <w:r>
        <w:rPr>
          <w:rFonts w:cs="Calibri" w:cstheme="minorHAnsi"/>
          <w:sz w:val="24"/>
          <w:szCs w:val="24"/>
        </w:rPr>
        <w:t>Ropczycach</w:t>
      </w:r>
      <w:r>
        <w:rPr>
          <w:rFonts w:cs="Calibri" w:cstheme="minorHAnsi"/>
          <w:sz w:val="24"/>
          <w:szCs w:val="24"/>
        </w:rPr>
        <w:t xml:space="preserve"> po uprzednim zawnioskowaniu o organizację takiego spotkania, przy wykorzystaniu wniosku</w:t>
        <w:br/>
        <w:t xml:space="preserve">o dokonanie ustnego zgłoszenia (do pobrania na stronie Biuletynu Informacji Publicznej Komendy </w:t>
      </w:r>
      <w:r>
        <w:rPr>
          <w:rFonts w:cs="Calibri" w:cstheme="minorHAnsi"/>
          <w:sz w:val="24"/>
          <w:szCs w:val="24"/>
        </w:rPr>
        <w:t>Powiatowej</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w:t>
      </w:r>
    </w:p>
    <w:p>
      <w:pPr>
        <w:pStyle w:val="ListParagraph"/>
        <w:spacing w:before="120" w:after="160"/>
        <w:ind w:left="993"/>
        <w:contextualSpacing/>
        <w:jc w:val="both"/>
        <w:rPr>
          <w:rFonts w:cs="Calibri" w:cstheme="minorHAnsi"/>
          <w:sz w:val="24"/>
          <w:szCs w:val="24"/>
        </w:rPr>
      </w:pPr>
      <w:r>
        <w:rPr>
          <w:rFonts w:cs="Calibri" w:cstheme="minorHAnsi"/>
          <w:sz w:val="24"/>
          <w:szCs w:val="24"/>
        </w:rPr>
        <w:t xml:space="preserve">http://ropczyce.bip.policja.gov.pl/301/sygnalisci-procedura-zgloszen/233,Procedura-zgloszen-zewnetrznych.html i przesłaniu go jako załącznika wiadomości e-mail: </w:t>
      </w:r>
      <w:r>
        <w:rPr>
          <w:rFonts w:cs="Calibri" w:cstheme="minorHAnsi"/>
          <w:sz w:val="24"/>
          <w:szCs w:val="24"/>
        </w:rPr>
        <w:t>sygnalista.ropczyce</w:t>
      </w:r>
      <w:hyperlink r:id="rId3">
        <w:r>
          <w:rPr>
            <w:rStyle w:val="Hyperlink"/>
            <w:rFonts w:cs="Calibri" w:cstheme="minorHAnsi"/>
            <w:color w:val="auto"/>
            <w:sz w:val="24"/>
            <w:szCs w:val="24"/>
            <w:u w:val="none"/>
          </w:rPr>
          <w:t>@rz.policja.gov.pl</w:t>
        </w:r>
      </w:hyperlink>
      <w:r>
        <w:rPr>
          <w:rFonts w:cs="Calibri" w:cstheme="minorHAnsi"/>
          <w:sz w:val="24"/>
          <w:szCs w:val="24"/>
        </w:rPr>
        <w:t xml:space="preserve">  o tytule </w:t>
      </w:r>
      <w:r>
        <w:rPr>
          <w:rFonts w:cs="Calibri" w:cstheme="minorHAnsi"/>
          <w:b/>
          <w:sz w:val="24"/>
          <w:szCs w:val="24"/>
        </w:rPr>
        <w:t>„Zgłoszenie zewnętrzne”.</w:t>
      </w:r>
    </w:p>
    <w:p>
      <w:pPr>
        <w:pStyle w:val="ListParagraph"/>
        <w:numPr>
          <w:ilvl w:val="0"/>
          <w:numId w:val="2"/>
        </w:numPr>
        <w:spacing w:lineRule="auto" w:line="276" w:before="120" w:after="0"/>
        <w:ind w:hanging="284" w:left="993"/>
        <w:contextualSpacing w:val="false"/>
        <w:jc w:val="both"/>
        <w:rPr>
          <w:rFonts w:cs="Calibri" w:cstheme="minorHAnsi"/>
          <w:bCs/>
          <w:sz w:val="24"/>
          <w:szCs w:val="24"/>
        </w:rPr>
      </w:pPr>
      <w:r>
        <w:rPr>
          <w:rFonts w:cs="Calibri" w:cstheme="minorHAnsi"/>
          <w:bCs/>
          <w:sz w:val="24"/>
          <w:szCs w:val="24"/>
        </w:rPr>
        <w:t xml:space="preserve">zgłoszenia dotyczącego funkcjonariuszy i pracowników </w:t>
      </w:r>
      <w:r>
        <w:rPr>
          <w:rFonts w:cs="Calibri" w:cstheme="minorHAnsi"/>
          <w:bCs/>
          <w:sz w:val="24"/>
          <w:szCs w:val="24"/>
        </w:rPr>
        <w:t xml:space="preserve">wyznaczonych przez Komendanta Powiatowego Policji w Ropczycach do przyjmowania zgłoszeń zewnętrznych, </w:t>
      </w:r>
      <w:r>
        <w:rPr>
          <w:rFonts w:cs="Calibri" w:cstheme="minorHAnsi"/>
          <w:bCs/>
          <w:sz w:val="24"/>
          <w:szCs w:val="24"/>
        </w:rPr>
        <w:t xml:space="preserve">dokonuje się poprzez wysłanie go bezpośrednio na adres: </w:t>
      </w:r>
    </w:p>
    <w:p>
      <w:pPr>
        <w:pStyle w:val="ListParagraph"/>
        <w:spacing w:lineRule="auto" w:line="276" w:before="0" w:after="0"/>
        <w:ind w:left="992"/>
        <w:contextualSpacing w:val="false"/>
        <w:jc w:val="both"/>
        <w:rPr>
          <w:rFonts w:cs="Calibri" w:cstheme="minorHAnsi"/>
          <w:bCs/>
          <w:sz w:val="24"/>
          <w:szCs w:val="24"/>
        </w:rPr>
      </w:pPr>
      <w:r>
        <w:rPr>
          <w:rFonts w:cs="Calibri" w:cstheme="minorHAnsi"/>
          <w:bCs/>
          <w:sz w:val="24"/>
          <w:szCs w:val="24"/>
        </w:rPr>
        <w:t xml:space="preserve">Sekretariat Komendanta, Komenda </w:t>
      </w:r>
      <w:r>
        <w:rPr>
          <w:rFonts w:cs="Calibri" w:cstheme="minorHAnsi"/>
          <w:bCs/>
          <w:sz w:val="24"/>
          <w:szCs w:val="24"/>
        </w:rPr>
        <w:t xml:space="preserve">Powiatowa </w:t>
      </w:r>
      <w:r>
        <w:rPr>
          <w:rFonts w:cs="Calibri" w:cstheme="minorHAnsi"/>
          <w:bCs/>
          <w:sz w:val="24"/>
          <w:szCs w:val="24"/>
        </w:rPr>
        <w:t>Policji w R</w:t>
      </w:r>
      <w:r>
        <w:rPr>
          <w:rFonts w:cs="Calibri" w:cstheme="minorHAnsi"/>
          <w:bCs/>
          <w:sz w:val="24"/>
          <w:szCs w:val="24"/>
        </w:rPr>
        <w:t>opczycach</w:t>
      </w:r>
    </w:p>
    <w:p>
      <w:pPr>
        <w:pStyle w:val="ListParagraph"/>
        <w:spacing w:lineRule="auto" w:line="276" w:before="0" w:after="0"/>
        <w:ind w:left="992"/>
        <w:contextualSpacing w:val="false"/>
        <w:jc w:val="both"/>
        <w:rPr>
          <w:rFonts w:cs="Calibri" w:cstheme="minorHAnsi"/>
          <w:bCs/>
          <w:sz w:val="24"/>
          <w:szCs w:val="24"/>
        </w:rPr>
      </w:pPr>
      <w:r>
        <w:rPr>
          <w:rFonts w:cs="Calibri" w:cstheme="minorHAnsi"/>
          <w:bCs/>
          <w:sz w:val="24"/>
          <w:szCs w:val="24"/>
        </w:rPr>
        <w:t xml:space="preserve">ul. </w:t>
      </w:r>
      <w:r>
        <w:rPr>
          <w:rFonts w:cs="Calibri" w:cstheme="minorHAnsi"/>
          <w:bCs/>
          <w:sz w:val="24"/>
          <w:szCs w:val="24"/>
        </w:rPr>
        <w:t>Piłsudskiego 22</w:t>
      </w:r>
    </w:p>
    <w:p>
      <w:pPr>
        <w:pStyle w:val="ListParagraph"/>
        <w:spacing w:lineRule="auto" w:line="276" w:before="0" w:after="0"/>
        <w:ind w:left="992"/>
        <w:contextualSpacing w:val="false"/>
        <w:jc w:val="both"/>
        <w:rPr>
          <w:rFonts w:cs="Calibri" w:cstheme="minorHAnsi"/>
          <w:bCs/>
          <w:sz w:val="24"/>
          <w:szCs w:val="24"/>
        </w:rPr>
      </w:pPr>
      <w:r>
        <w:rPr>
          <w:rFonts w:cs="Calibri" w:cstheme="minorHAnsi"/>
          <w:bCs/>
          <w:sz w:val="24"/>
          <w:szCs w:val="24"/>
        </w:rPr>
        <w:t>39-100 Ropczyce</w:t>
      </w:r>
    </w:p>
    <w:p>
      <w:pPr>
        <w:pStyle w:val="ListParagraph"/>
        <w:spacing w:lineRule="auto" w:line="276" w:before="0" w:after="0"/>
        <w:ind w:hanging="142" w:left="1134"/>
        <w:contextualSpacing w:val="false"/>
        <w:jc w:val="both"/>
        <w:rPr>
          <w:rFonts w:cs="Calibri" w:cstheme="minorHAnsi"/>
          <w:bCs/>
          <w:sz w:val="24"/>
          <w:szCs w:val="24"/>
        </w:rPr>
      </w:pPr>
      <w:r>
        <w:rPr>
          <w:rFonts w:cs="Calibri" w:cstheme="minorHAnsi"/>
          <w:bCs/>
          <w:spacing w:val="-6"/>
          <w:sz w:val="24"/>
          <w:szCs w:val="24"/>
        </w:rPr>
        <w:t>(w zamkniętej kopercie z dopiskiem:</w:t>
      </w:r>
      <w:r>
        <w:rPr>
          <w:rFonts w:cs="Calibri" w:cstheme="minorHAnsi"/>
          <w:b/>
          <w:bCs/>
          <w:spacing w:val="-6"/>
          <w:sz w:val="24"/>
          <w:szCs w:val="24"/>
        </w:rPr>
        <w:t xml:space="preserve"> </w:t>
      </w:r>
      <w:r>
        <w:rPr>
          <w:rFonts w:cs="Calibri" w:cstheme="minorHAnsi"/>
          <w:bCs/>
          <w:spacing w:val="-6"/>
          <w:sz w:val="24"/>
          <w:szCs w:val="24"/>
        </w:rPr>
        <w:t>„</w:t>
      </w:r>
      <w:r>
        <w:rPr>
          <w:rFonts w:cs="Calibri" w:cstheme="minorHAnsi"/>
          <w:b/>
          <w:bCs/>
          <w:spacing w:val="-6"/>
          <w:sz w:val="24"/>
          <w:szCs w:val="24"/>
        </w:rPr>
        <w:t>Zgłoszenie zewnętrzne – do rąk Komendanta</w:t>
      </w:r>
      <w:r>
        <w:rPr>
          <w:rFonts w:cs="Calibri" w:cstheme="minorHAnsi"/>
          <w:b/>
          <w:bCs/>
          <w:sz w:val="24"/>
          <w:szCs w:val="24"/>
        </w:rPr>
        <w:t xml:space="preserve"> </w:t>
      </w:r>
      <w:r>
        <w:rPr>
          <w:rFonts w:cs="Calibri" w:cstheme="minorHAnsi"/>
          <w:b/>
          <w:bCs/>
          <w:sz w:val="24"/>
          <w:szCs w:val="24"/>
        </w:rPr>
        <w:t>Powiatowego</w:t>
      </w:r>
      <w:r>
        <w:rPr>
          <w:rFonts w:cs="Calibri" w:cstheme="minorHAnsi"/>
          <w:b/>
          <w:bCs/>
          <w:sz w:val="24"/>
          <w:szCs w:val="24"/>
        </w:rPr>
        <w:t xml:space="preserve"> Policji w R</w:t>
      </w:r>
      <w:r>
        <w:rPr>
          <w:rFonts w:cs="Calibri" w:cstheme="minorHAnsi"/>
          <w:b/>
          <w:bCs/>
          <w:sz w:val="24"/>
          <w:szCs w:val="24"/>
        </w:rPr>
        <w:t>opczycach</w:t>
      </w:r>
      <w:r>
        <w:rPr>
          <w:rFonts w:cs="Calibri" w:cstheme="minorHAnsi"/>
          <w:b/>
          <w:bCs/>
          <w:sz w:val="24"/>
          <w:szCs w:val="24"/>
        </w:rPr>
        <w:t>. Nie otwierać w sekretariacie</w:t>
      </w:r>
      <w:r>
        <w:rPr>
          <w:rFonts w:cs="Calibri" w:cstheme="minorHAnsi"/>
          <w:bCs/>
          <w:sz w:val="24"/>
          <w:szCs w:val="24"/>
        </w:rPr>
        <w:t>”)</w:t>
      </w:r>
    </w:p>
    <w:p>
      <w:pPr>
        <w:pStyle w:val="ListParagraph"/>
        <w:numPr>
          <w:ilvl w:val="0"/>
          <w:numId w:val="2"/>
        </w:numPr>
        <w:spacing w:before="120" w:after="160"/>
        <w:ind w:hanging="284" w:left="993"/>
        <w:contextualSpacing/>
        <w:jc w:val="both"/>
        <w:rPr>
          <w:rFonts w:cs="Calibri" w:cstheme="minorHAnsi"/>
          <w:sz w:val="24"/>
          <w:szCs w:val="24"/>
        </w:rPr>
      </w:pPr>
      <w:r>
        <w:rPr>
          <w:rFonts w:cs="Calibri" w:cstheme="minorHAnsi"/>
          <w:spacing w:val="-8"/>
          <w:sz w:val="24"/>
          <w:szCs w:val="24"/>
        </w:rPr>
        <w:t xml:space="preserve">Zgłoszenie </w:t>
      </w:r>
      <w:r>
        <w:rPr>
          <w:rFonts w:cs="Calibri" w:cstheme="minorHAnsi"/>
          <w:b/>
          <w:spacing w:val="-8"/>
          <w:sz w:val="24"/>
          <w:szCs w:val="24"/>
        </w:rPr>
        <w:t>nie może</w:t>
      </w:r>
      <w:r>
        <w:rPr>
          <w:rFonts w:cs="Calibri" w:cstheme="minorHAnsi"/>
          <w:spacing w:val="-8"/>
          <w:sz w:val="24"/>
          <w:szCs w:val="24"/>
        </w:rPr>
        <w:t xml:space="preserve"> zostać przekazane anonimowo.</w:t>
      </w:r>
    </w:p>
    <w:p>
      <w:pPr>
        <w:pStyle w:val="ListParagraph"/>
        <w:spacing w:before="120" w:after="160"/>
        <w:ind w:left="993"/>
        <w:contextualSpacing/>
        <w:jc w:val="both"/>
        <w:rPr>
          <w:rFonts w:cs="Calibri" w:cstheme="minorHAnsi"/>
          <w:sz w:val="24"/>
          <w:szCs w:val="24"/>
        </w:rPr>
      </w:pPr>
      <w:r>
        <w:rPr>
          <w:rFonts w:cs="Calibri" w:cstheme="minorHAnsi"/>
          <w:sz w:val="24"/>
          <w:szCs w:val="24"/>
        </w:rPr>
      </w:r>
    </w:p>
    <w:p>
      <w:pPr>
        <w:pStyle w:val="ListParagraph"/>
        <w:spacing w:before="120" w:after="160"/>
        <w:ind w:left="993"/>
        <w:contextualSpacing/>
        <w:jc w:val="both"/>
        <w:rPr>
          <w:rFonts w:cs="Calibri" w:cstheme="minorHAnsi"/>
          <w:sz w:val="24"/>
          <w:szCs w:val="24"/>
        </w:rPr>
      </w:pPr>
      <w:r>
        <w:rPr>
          <w:rFonts w:cs="Calibri" w:cstheme="minorHAnsi"/>
          <w:sz w:val="24"/>
          <w:szCs w:val="24"/>
        </w:rPr>
      </w:r>
    </w:p>
    <w:p>
      <w:pPr>
        <w:pStyle w:val="ListParagraph"/>
        <w:spacing w:before="120" w:after="160"/>
        <w:ind w:left="993"/>
        <w:contextualSpacing/>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Warunki objęcia sygnalisty ochroną:</w:t>
      </w:r>
    </w:p>
    <w:p>
      <w:pPr>
        <w:pStyle w:val="ListParagraph"/>
        <w:numPr>
          <w:ilvl w:val="0"/>
          <w:numId w:val="4"/>
        </w:numPr>
        <w:spacing w:lineRule="auto" w:line="240" w:before="0" w:after="0"/>
        <w:ind w:hanging="284" w:left="993"/>
        <w:contextualSpacing/>
        <w:jc w:val="both"/>
        <w:rPr>
          <w:rFonts w:eastAsia="Times New Roman" w:cs="Calibri" w:cstheme="minorHAnsi"/>
          <w:sz w:val="24"/>
          <w:szCs w:val="24"/>
          <w:lang w:eastAsia="pl-PL"/>
        </w:rPr>
      </w:pPr>
      <w:r>
        <w:rPr>
          <w:rFonts w:eastAsia="Times New Roman" w:cs="Calibri" w:cstheme="minorHAnsi"/>
          <w:sz w:val="24"/>
          <w:szCs w:val="24"/>
          <w:lang w:eastAsia="pl-PL"/>
        </w:rPr>
        <w:t xml:space="preserve"> </w:t>
      </w:r>
      <w:r>
        <w:rPr>
          <w:rFonts w:eastAsia="Times New Roman" w:cs="Calibri" w:cstheme="minorHAnsi"/>
          <w:sz w:val="24"/>
          <w:szCs w:val="24"/>
          <w:lang w:eastAsia="pl-PL"/>
        </w:rPr>
        <w:t xml:space="preserve">Sygnalista podlega ochronie od chwili dokonania zgłoszenia lub ujawnienia publicznego, pod warunkiem że miał uzasadnione podstawy sądzić, że informacja będąca przedmiotem zgłoszenia lub ujawnienia publicznego jest prawdziwa </w:t>
        <w:br/>
        <w:t>w momencie dokonywania zgłoszenia lub ujawnienia publicznego i że stanowi informację o naruszeniu prawa.</w:t>
      </w:r>
    </w:p>
    <w:p>
      <w:pPr>
        <w:pStyle w:val="ListParagraph"/>
        <w:jc w:val="both"/>
        <w:rPr>
          <w:rFonts w:cs="Calibri" w:cstheme="minorHAnsi"/>
          <w:sz w:val="24"/>
          <w:szCs w:val="24"/>
        </w:rPr>
      </w:pPr>
      <w:r>
        <w:rPr>
          <w:rFonts w:cs="Calibri" w:cstheme="minorHAnsi"/>
          <w:sz w:val="24"/>
          <w:szCs w:val="24"/>
        </w:rPr>
      </w:r>
    </w:p>
    <w:p>
      <w:pPr>
        <w:pStyle w:val="ListParagraph"/>
        <w:numPr>
          <w:ilvl w:val="0"/>
          <w:numId w:val="3"/>
        </w:numPr>
        <w:ind w:hanging="284" w:left="993"/>
        <w:jc w:val="both"/>
        <w:rPr>
          <w:rFonts w:cs="Calibri" w:cstheme="minorHAnsi"/>
          <w:sz w:val="24"/>
          <w:szCs w:val="24"/>
        </w:rPr>
      </w:pPr>
      <w:r>
        <w:rPr>
          <w:rFonts w:cs="Calibri" w:cstheme="minorHAnsi"/>
          <w:sz w:val="24"/>
          <w:szCs w:val="24"/>
        </w:rPr>
        <w:t xml:space="preserve">Ochroną objęty jest sygnalista będący osobą fizyczną w przypadku zgłoszenia lub ujawnienia publicznego informacji o naruszeniu prawa uzyskanej w kontekście związanym z pracą, również przed nawiązaniem stosunku pracy lub innego stosunku prawnego stanowiącego podstawę świadczenia pracy lub usług lub pełnienia funkcji w podmiocie prawnym lub na rzecz tego podmiotu, lub pełnienia służby </w:t>
        <w:br/>
        <w:t>w podmiocie prawnym lub już po ich ustaniu.</w:t>
      </w:r>
    </w:p>
    <w:p>
      <w:pPr>
        <w:pStyle w:val="ListParagraph"/>
        <w:numPr>
          <w:ilvl w:val="0"/>
          <w:numId w:val="3"/>
        </w:numPr>
        <w:ind w:hanging="284" w:left="993"/>
        <w:jc w:val="both"/>
        <w:rPr>
          <w:rFonts w:cs="Calibri" w:cstheme="minorHAnsi"/>
          <w:sz w:val="24"/>
          <w:szCs w:val="24"/>
        </w:rPr>
      </w:pPr>
      <w:r>
        <w:rPr>
          <w:rFonts w:cs="Calibri" w:cstheme="minorHAnsi"/>
          <w:sz w:val="24"/>
          <w:szCs w:val="24"/>
        </w:rPr>
        <w:t xml:space="preserve">Prawo do ochrony na warunkach przynależnych sygnaliście przysługuje również  osobie pomagającej w dokonaniu zgłoszenia oraz osobie powiązanej z sygnalistą </w:t>
        <w:br/>
        <w:t xml:space="preserve">a także osobie prawnej lub innej jednostce organizacyjnej pomagającej sygnaliście lub z nim powiązanej, w szczególności stanowiącej własność sygnalisty lub go zatrudniającej. </w:t>
      </w:r>
    </w:p>
    <w:p>
      <w:pPr>
        <w:pStyle w:val="ListParagraph"/>
        <w:ind w:left="993"/>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Tryb postępowania w przypadku zgłoszenie zewnętrznego</w:t>
      </w:r>
    </w:p>
    <w:p>
      <w:pPr>
        <w:pStyle w:val="ListParagraph"/>
        <w:ind w:left="851"/>
        <w:jc w:val="both"/>
        <w:rPr>
          <w:rFonts w:cs="Calibri" w:cstheme="minorHAnsi"/>
          <w:sz w:val="24"/>
          <w:szCs w:val="24"/>
        </w:rPr>
      </w:pPr>
      <w:r>
        <w:rPr>
          <w:rFonts w:cs="Calibri" w:cstheme="minorHAnsi"/>
          <w:sz w:val="24"/>
          <w:szCs w:val="24"/>
        </w:rPr>
        <w:t xml:space="preserve">Informacje o trybie postępowania mającym zastosowanie w przypadku zgłoszenia zewnętrznego w Komendzie </w:t>
      </w:r>
      <w:r>
        <w:rPr>
          <w:rFonts w:cs="Calibri" w:cstheme="minorHAnsi"/>
          <w:sz w:val="24"/>
          <w:szCs w:val="24"/>
        </w:rPr>
        <w:t>Powiatowej</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w tym wymagany sposób wyjaśnienia informacji będących przedmiotem zgłoszenia lub przedstawienia dodatkowych informacji zostały określone w Procedurze przyjmowania zewnętrznych zgłoszeń naruszeń prawa w Komendzie </w:t>
      </w:r>
      <w:r>
        <w:rPr>
          <w:rFonts w:cs="Calibri" w:cstheme="minorHAnsi"/>
          <w:sz w:val="24"/>
          <w:szCs w:val="24"/>
        </w:rPr>
        <w:t xml:space="preserve">Powiatowej </w:t>
      </w:r>
      <w:r>
        <w:rPr>
          <w:rFonts w:cs="Calibri" w:cstheme="minorHAnsi"/>
          <w:sz w:val="24"/>
          <w:szCs w:val="24"/>
        </w:rPr>
        <w:t xml:space="preserve">Policji </w:t>
      </w:r>
      <w:r>
        <w:rPr>
          <w:rFonts w:cs="Calibri" w:cstheme="minorHAnsi"/>
          <w:sz w:val="24"/>
          <w:szCs w:val="24"/>
        </w:rPr>
        <w:t>w Ropczycach oraz Komisariacie Policji w Sędziszowie Małopolskim</w:t>
      </w:r>
      <w:r>
        <w:rPr>
          <w:rFonts w:cs="Calibri" w:cstheme="minorHAnsi"/>
          <w:sz w:val="24"/>
          <w:szCs w:val="24"/>
        </w:rPr>
        <w:t xml:space="preserve"> (zw. dalej Procedurą zgłoszeń zewnętrznych) (</w:t>
      </w:r>
      <w:hyperlink r:id="rId4">
        <w:r>
          <w:rPr>
            <w:rStyle w:val="Hyperlink"/>
            <w:rFonts w:cs="Calibri" w:cstheme="minorHAnsi"/>
            <w:color w:val="auto"/>
            <w:sz w:val="24"/>
            <w:szCs w:val="24"/>
          </w:rPr>
          <w:t>do pobrania na stronie BIP K</w:t>
        </w:r>
        <w:r>
          <w:rPr>
            <w:rStyle w:val="Hyperlink"/>
            <w:rFonts w:cs="Calibri" w:cstheme="minorHAnsi"/>
            <w:color w:val="auto"/>
            <w:sz w:val="24"/>
            <w:szCs w:val="24"/>
          </w:rPr>
          <w:t>P</w:t>
        </w:r>
        <w:r>
          <w:rPr>
            <w:rStyle w:val="Hyperlink"/>
            <w:rFonts w:cs="Calibri" w:cstheme="minorHAnsi"/>
            <w:color w:val="auto"/>
            <w:sz w:val="24"/>
            <w:szCs w:val="24"/>
          </w:rPr>
          <w:t>P w R</w:t>
        </w:r>
        <w:r>
          <w:rPr>
            <w:rStyle w:val="Hyperlink"/>
            <w:rFonts w:cs="Calibri" w:cstheme="minorHAnsi"/>
            <w:color w:val="auto"/>
            <w:sz w:val="24"/>
            <w:szCs w:val="24"/>
          </w:rPr>
          <w:t>o</w:t>
        </w:r>
      </w:hyperlink>
      <w:r>
        <w:rPr>
          <w:rFonts w:cs="Calibri" w:cstheme="minorHAnsi"/>
          <w:color w:val="auto"/>
          <w:sz w:val="24"/>
          <w:szCs w:val="24"/>
        </w:rPr>
        <w:t>pczycach</w:t>
      </w:r>
      <w:r>
        <w:rPr>
          <w:rFonts w:cs="Calibri" w:cstheme="minorHAnsi"/>
          <w:sz w:val="24"/>
          <w:szCs w:val="24"/>
        </w:rPr>
        <w:t>).</w:t>
      </w:r>
    </w:p>
    <w:p>
      <w:pPr>
        <w:pStyle w:val="ListParagraph"/>
        <w:ind w:firstLine="273" w:left="720"/>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Termin przekazania informacji zwrotnej oraz rodzaju i zawartości takiej informacji</w:t>
      </w:r>
    </w:p>
    <w:p>
      <w:pPr>
        <w:pStyle w:val="ListParagraph"/>
        <w:numPr>
          <w:ilvl w:val="0"/>
          <w:numId w:val="5"/>
        </w:numPr>
        <w:ind w:hanging="284" w:left="993"/>
        <w:jc w:val="both"/>
        <w:rPr>
          <w:rFonts w:cs="Calibri" w:cstheme="minorHAnsi"/>
          <w:sz w:val="24"/>
          <w:szCs w:val="24"/>
        </w:rPr>
      </w:pPr>
      <w:r>
        <w:rPr>
          <w:rFonts w:cs="Calibri" w:cstheme="minorHAnsi"/>
          <w:color w:val="C00000"/>
          <w:sz w:val="24"/>
          <w:szCs w:val="24"/>
        </w:rPr>
        <w:t xml:space="preserve"> </w:t>
      </w: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przekazuje sygnaliście informację zwrotną w terminie nieprzekraczającym 3 miesięcy od dnia przyjęcia zgłoszenia zewnętrznego.</w:t>
      </w:r>
    </w:p>
    <w:p>
      <w:pPr>
        <w:pStyle w:val="ListParagraph"/>
        <w:numPr>
          <w:ilvl w:val="0"/>
          <w:numId w:val="5"/>
        </w:numPr>
        <w:ind w:hanging="284" w:left="993"/>
        <w:jc w:val="both"/>
        <w:rPr>
          <w:rFonts w:cs="Calibri" w:cstheme="minorHAnsi"/>
          <w:sz w:val="24"/>
          <w:szCs w:val="24"/>
        </w:rPr>
      </w:pPr>
      <w:r>
        <w:rPr>
          <w:rFonts w:cs="Calibri" w:cstheme="minorHAnsi"/>
          <w:sz w:val="24"/>
          <w:szCs w:val="24"/>
        </w:rPr>
        <w:t xml:space="preserve">W uzasadnionych przypadkach 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przekazuje sygnaliście informację zwrotną w terminie nieprzekraczającym </w:t>
        <w:br/>
        <w:t>6 miesięcy od dnia przyjęcia zgłoszenia zewnętrznego, po poinformowaniu o tym sygnalisty przed upływem terminu 3 miesięcy.</w:t>
      </w:r>
    </w:p>
    <w:p>
      <w:pPr>
        <w:pStyle w:val="ListParagraph"/>
        <w:numPr>
          <w:ilvl w:val="0"/>
          <w:numId w:val="5"/>
        </w:numPr>
        <w:ind w:hanging="284" w:left="993"/>
        <w:jc w:val="both"/>
        <w:rPr>
          <w:rFonts w:cs="Calibri" w:cstheme="minorHAnsi"/>
          <w:sz w:val="24"/>
          <w:szCs w:val="24"/>
        </w:rPr>
      </w:pP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informuje sygnalistę o ostatecznym wyniku postępowań wyjaśniających wszczętych na skutek zgłoszenia zewnętrznego.</w:t>
      </w:r>
    </w:p>
    <w:p>
      <w:pPr>
        <w:pStyle w:val="ListParagraph"/>
        <w:ind w:left="851"/>
        <w:jc w:val="both"/>
        <w:rPr>
          <w:rFonts w:cs="Calibri" w:cstheme="minorHAnsi"/>
          <w:sz w:val="24"/>
          <w:szCs w:val="24"/>
        </w:rPr>
      </w:pPr>
      <w:r>
        <w:rPr>
          <w:rFonts w:cs="Calibri" w:cstheme="minorHAnsi"/>
          <w:sz w:val="24"/>
          <w:szCs w:val="24"/>
        </w:rPr>
      </w:r>
    </w:p>
    <w:p>
      <w:pPr>
        <w:pStyle w:val="ListParagraph"/>
        <w:numPr>
          <w:ilvl w:val="0"/>
          <w:numId w:val="1"/>
        </w:numPr>
        <w:rPr>
          <w:rFonts w:cs="Calibri" w:cstheme="minorHAnsi"/>
          <w:b/>
          <w:sz w:val="24"/>
          <w:szCs w:val="24"/>
        </w:rPr>
      </w:pPr>
      <w:r>
        <w:rPr>
          <w:rFonts w:cs="Calibri" w:cstheme="minorHAnsi"/>
          <w:b/>
          <w:sz w:val="24"/>
          <w:szCs w:val="24"/>
        </w:rPr>
        <w:t>Zasady poufności mające zastosowanie do zgłoszeń zewnętrznych</w:t>
      </w:r>
    </w:p>
    <w:p>
      <w:pPr>
        <w:pStyle w:val="ListParagraph"/>
        <w:ind w:left="786"/>
        <w:jc w:val="both"/>
        <w:rPr>
          <w:rFonts w:cs="Calibri" w:cstheme="minorHAnsi"/>
          <w:sz w:val="24"/>
          <w:szCs w:val="24"/>
        </w:rPr>
      </w:pPr>
      <w:r>
        <w:rPr>
          <w:rFonts w:cs="Calibri" w:cstheme="minorHAnsi"/>
          <w:sz w:val="24"/>
          <w:szCs w:val="24"/>
        </w:rPr>
        <w:t xml:space="preserve">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gwarantuje, że procedura przyjmowania zgłoszeń zewnętrznych oraz związane z przyjmowaniem zgłoszeń przetwarzanie danych osobowych:</w:t>
      </w:r>
    </w:p>
    <w:p>
      <w:pPr>
        <w:pStyle w:val="ListParagraph"/>
        <w:numPr>
          <w:ilvl w:val="0"/>
          <w:numId w:val="6"/>
        </w:numPr>
        <w:ind w:hanging="284" w:left="993"/>
        <w:jc w:val="both"/>
        <w:rPr>
          <w:rFonts w:cs="Calibri" w:cstheme="minorHAnsi"/>
          <w:b/>
          <w:sz w:val="24"/>
          <w:szCs w:val="24"/>
        </w:rPr>
      </w:pPr>
      <w:r>
        <w:rPr>
          <w:rFonts w:cs="Calibri" w:cstheme="minorHAnsi"/>
          <w:spacing w:val="-8"/>
          <w:sz w:val="24"/>
          <w:szCs w:val="24"/>
        </w:rPr>
        <w:t>uniemożliwiają uzyskanie dostępu do informacji objętych zgłoszeniem nieupoważnionym</w:t>
      </w:r>
      <w:r>
        <w:rPr>
          <w:rFonts w:cs="Calibri" w:cstheme="minorHAnsi"/>
          <w:sz w:val="24"/>
          <w:szCs w:val="24"/>
        </w:rPr>
        <w:t xml:space="preserve"> osobom,</w:t>
      </w:r>
    </w:p>
    <w:p>
      <w:pPr>
        <w:pStyle w:val="ListParagraph"/>
        <w:numPr>
          <w:ilvl w:val="0"/>
          <w:numId w:val="6"/>
        </w:numPr>
        <w:ind w:hanging="284" w:left="993"/>
        <w:jc w:val="both"/>
        <w:rPr>
          <w:rFonts w:cs="Calibri" w:cstheme="minorHAnsi"/>
          <w:b/>
          <w:sz w:val="24"/>
          <w:szCs w:val="24"/>
        </w:rPr>
      </w:pPr>
      <w:r>
        <w:rPr>
          <w:rFonts w:cs="Calibri" w:cstheme="minorHAnsi"/>
          <w:sz w:val="24"/>
          <w:szCs w:val="24"/>
        </w:rPr>
        <w:t>zapewniają ochronę poufności tożsamości sygnalisty oraz osoby, której dotyczy zgłoszenie.</w:t>
      </w:r>
    </w:p>
    <w:p>
      <w:pPr>
        <w:pStyle w:val="Normal"/>
        <w:ind w:left="851"/>
        <w:jc w:val="both"/>
        <w:rPr>
          <w:rFonts w:cs="Calibri" w:cstheme="minorHAnsi"/>
          <w:sz w:val="24"/>
          <w:szCs w:val="24"/>
        </w:rPr>
      </w:pPr>
      <w:r>
        <w:rPr>
          <w:rFonts w:cs="Calibri" w:cstheme="minorHAnsi"/>
          <w:sz w:val="24"/>
          <w:szCs w:val="24"/>
        </w:rPr>
        <w:t>Ochrona poufności, dotyczy informacji, na podstawie których można bezpośrednio lub pośrednio zidentyfikować tożsamość sygnalisty oraz osoby, której dotyczy zgłoszenie.</w:t>
      </w:r>
    </w:p>
    <w:p>
      <w:pPr>
        <w:pStyle w:val="ListParagraph"/>
        <w:numPr>
          <w:ilvl w:val="0"/>
          <w:numId w:val="1"/>
        </w:numPr>
        <w:jc w:val="both"/>
        <w:rPr>
          <w:rFonts w:cs="Calibri" w:cstheme="minorHAnsi"/>
          <w:b/>
          <w:sz w:val="24"/>
          <w:szCs w:val="24"/>
        </w:rPr>
      </w:pPr>
      <w:r>
        <w:rPr>
          <w:rFonts w:cs="Calibri" w:cstheme="minorHAnsi"/>
          <w:b/>
          <w:sz w:val="24"/>
          <w:szCs w:val="24"/>
        </w:rPr>
        <w:t>Zasady przetwarzania danych osobowych</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Ochrona poufności: </w:t>
      </w:r>
      <w:r>
        <w:rPr>
          <w:rFonts w:cs="Calibri" w:cstheme="minorHAnsi"/>
          <w:sz w:val="24"/>
          <w:szCs w:val="24"/>
        </w:rPr>
        <w:t xml:space="preserve">Administrator - 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zapewnia, że dostęp do danych osobowych sygnalisty uzyskują wyłącznie osoby upoważnione. </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Zgoda na ujawnienie tożsamości: </w:t>
      </w:r>
      <w:r>
        <w:rPr>
          <w:rFonts w:cs="Calibri" w:cstheme="minorHAnsi"/>
          <w:sz w:val="24"/>
          <w:szCs w:val="24"/>
        </w:rPr>
        <w:t>sygnalista może wyrazić zgodę na ujawnienie danych osobowych umożliwiających ustalenie jego tożsamości. W przypadku wyrażenia zgody przez sygnalistę, Administrator będzie informował osoby wskazane w zgłoszeniu o podaniu ich danych przez sygnalistę (w ramach realizacji obowiązku informacyjnego z art. 14 RODO lub w ramach realizacji przez te osoby prawa dostępu do danych osobowych).</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Wyjątek dotyczący zgody: </w:t>
      </w:r>
      <w:r>
        <w:rPr>
          <w:rFonts w:cs="Calibri" w:cstheme="minorHAnsi"/>
          <w:sz w:val="24"/>
          <w:szCs w:val="24"/>
        </w:rPr>
        <w:t>zgoda sygnalisty nie jest wymagana w sytuacji, gdy ujawnienie jest koniecznym  i  proporcjonalnym obowiązkiem wynikającym z przepisów prawa w związku z postępowaniami wyjaśniającymi prowadzonymi przez organy publiczne lub postępowaniami przygotowawczymi lub sądowymi prowadzonymi przez sądy, w tym w celu zagwarantowania prawa do obrony przysługującego osobie, której dotyczy zgłoszenie. Przed takim ujawnieniem danych osobowych sygnalisty, właściwy organ publiczny lub właściwy sąd powiadamia o tym sygnalistę, przesyłając w postaci papierowej wyjaśnienie powodów ujawnienia jego danych osobowych, chyba że takie powiadomienie zagrozi postępowaniu wyjaśniającemu lub postępowaniu przygotowawczemu, lub sądowemu.</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Niezbędność i minimalizacja: </w:t>
      </w:r>
      <w:r>
        <w:rPr>
          <w:rFonts w:cs="Calibri" w:cstheme="minorHAnsi"/>
          <w:sz w:val="24"/>
          <w:szCs w:val="24"/>
        </w:rPr>
        <w:t>Administrator przetwarza dane osobowe w minimalnym zakresie, tj. niezbędnym do przyjęcia zgłoszenia lub podjęcia ewentualnego działania następczego. Dane osobowe, które nie mają znaczenia dla rozpatrywania zgłoszenia, nie są zbierane, a w razie przypadkowego zebrania są niezwłocznie usuwane (nie później niż do upływu 14 dni od momentu ustalenia, że nie są niezbędne).</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Przechowywanie i usuwanie danych: </w:t>
      </w:r>
      <w:r>
        <w:rPr>
          <w:rFonts w:cs="Calibri" w:cstheme="minorHAnsi"/>
          <w:sz w:val="24"/>
          <w:szCs w:val="24"/>
        </w:rPr>
        <w:t xml:space="preserve">Administrator przechowuje dane osobowe, które przetwarza w związku z przyjęciem zgłoszenia lub podjęciem działań następczych oraz dokumenty związane z tym zgłoszeniem przez okres 3 lat po zakończeniu roku kalendarzowego, w którym przekazano zgłoszenie zewnętrzne do organu publicznego właściwego do podjęcia działań następczych lub zakończono działania następcze, lub po zakończeniu postępowań zainicjowanych tymi działaniami. Po tym czasie dane osobowe są usuwane, chyba że dokumenty związane ze zgłoszeniem stanowią część akt postępowań przygotowawczych lub spraw sądowych lub sądowo-administracyjnych. </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Informowanie osób wskazanych w zgłoszeniu: </w:t>
      </w:r>
      <w:r>
        <w:rPr>
          <w:rFonts w:cs="Calibri" w:cstheme="minorHAnsi"/>
          <w:sz w:val="24"/>
          <w:szCs w:val="24"/>
        </w:rPr>
        <w:t>Administrator informuje osoby wskazane w zgłoszeniu lub osoby, których dotyczy zgłoszenie, na podstawie art. 14 RODO, o zasadach przetwarzania ich danych osobowych,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Ograniczenie w realizacji prawa dostępu do danych osobowych: </w:t>
      </w:r>
      <w:r>
        <w:rPr>
          <w:rFonts w:cs="Calibri" w:cstheme="minorHAnsi"/>
          <w:bCs/>
          <w:sz w:val="24"/>
          <w:szCs w:val="24"/>
        </w:rPr>
        <w:t>A</w:t>
      </w:r>
      <w:r>
        <w:rPr>
          <w:rFonts w:cs="Calibri" w:cstheme="minorHAnsi"/>
          <w:sz w:val="24"/>
          <w:szCs w:val="24"/>
        </w:rPr>
        <w:t>dministrator realizuje prawo dostępu do danych osobowych osób wskazanych w zgłoszeniu lub osób, których dotyczy zgłoszenie, z wyłączeniem informacji o źródle danych osobowych, chyba, że sygnalista nie spełnia warunków wskazanych w art. 6 ustawy o ochronie sygnalistów albo wyraził wyraźną zgodę na ujawnienie swojej tożsamości.</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Zasady dotyczące przetwarzania danych osobowych: </w:t>
      </w:r>
      <w:r>
        <w:rPr>
          <w:rFonts w:cs="Calibri" w:cstheme="minorHAnsi"/>
          <w:sz w:val="24"/>
          <w:szCs w:val="24"/>
        </w:rPr>
        <w:t xml:space="preserve">Administrator zapewnia, że dane osobowe będą: przetwarzane zgodnie z prawem, rzetelnie i przejrzyście (zasada zgodności z prawem, rzetelności i przejrzystości z art. 5 ust. 1 lit. a) RODO); </w:t>
      </w:r>
      <w:r>
        <w:rPr>
          <w:rFonts w:cs="Calibri" w:cstheme="minorHAnsi"/>
          <w:spacing w:val="-8"/>
          <w:sz w:val="24"/>
          <w:szCs w:val="24"/>
        </w:rPr>
        <w:t>zbierane w konkretnych, wyraźnych i prawnie uzasadnionych celach i nieprzetwarzane</w:t>
      </w:r>
      <w:r>
        <w:rPr>
          <w:rFonts w:cs="Calibri" w:cstheme="minorHAnsi"/>
          <w:sz w:val="24"/>
          <w:szCs w:val="24"/>
        </w:rPr>
        <w:t xml:space="preserve"> dalej w sposób niezgodny z tymi celami (zasada ograniczenia celu z art. 5 ust. 1 lit. b) RODO); adekwatne, stosowne, ograniczone do tego co niezbędne (zasada </w:t>
      </w:r>
      <w:r>
        <w:rPr>
          <w:rFonts w:cs="Calibri" w:cstheme="minorHAnsi"/>
          <w:spacing w:val="-6"/>
          <w:sz w:val="24"/>
          <w:szCs w:val="24"/>
        </w:rPr>
        <w:t>minimalizacji z art. 5 ust. 1 lit. c) RODO); prawidłowe i w razie potrzeby uaktualniane</w:t>
      </w:r>
      <w:r>
        <w:rPr>
          <w:rFonts w:cs="Calibri" w:cstheme="minorHAnsi"/>
          <w:sz w:val="24"/>
          <w:szCs w:val="24"/>
        </w:rPr>
        <w:t xml:space="preserve"> (zasada prawidłowości z art. 5 ust. 1 lit. d) RODO), przechowywane w formie umożliwiającej identyfikację osoby, której dane dotyczą, przez okres nie dłuższy niż niezbędny do celów przetwarzania (zasada prawidłowości z art. 5 ust. 1 lit. e) RODO); przetwarzane w sposób zapewniający odpowiednie bezpieczeństwo danych osobowych (</w:t>
      </w:r>
      <w:r>
        <w:rPr>
          <w:rFonts w:cs="Calibri" w:cstheme="minorHAnsi"/>
          <w:i/>
          <w:sz w:val="24"/>
          <w:szCs w:val="24"/>
        </w:rPr>
        <w:t>zasada integralności i poufności z art. 5 ust. 1 lit. f) RODO</w:t>
      </w:r>
      <w:r>
        <w:rPr>
          <w:rFonts w:cs="Calibri" w:cstheme="minorHAnsi"/>
          <w:sz w:val="24"/>
          <w:szCs w:val="24"/>
        </w:rPr>
        <w:t>).</w:t>
      </w:r>
    </w:p>
    <w:p>
      <w:pPr>
        <w:pStyle w:val="ListParagraph"/>
        <w:numPr>
          <w:ilvl w:val="0"/>
          <w:numId w:val="10"/>
        </w:numPr>
        <w:spacing w:lineRule="auto" w:line="276" w:before="0" w:after="0"/>
        <w:ind w:hanging="284" w:left="993"/>
        <w:contextualSpacing/>
        <w:jc w:val="both"/>
        <w:rPr>
          <w:rFonts w:cs="Calibri" w:cstheme="minorHAnsi"/>
          <w:b/>
          <w:bCs/>
          <w:sz w:val="24"/>
          <w:szCs w:val="24"/>
        </w:rPr>
      </w:pPr>
      <w:r>
        <w:rPr>
          <w:rFonts w:cs="Calibri" w:cstheme="minorHAnsi"/>
          <w:b/>
          <w:bCs/>
          <w:sz w:val="24"/>
          <w:szCs w:val="24"/>
        </w:rPr>
        <w:t xml:space="preserve">Realizacja obowiązku informacyjnego wobec sygnalisty: </w:t>
      </w:r>
      <w:r>
        <w:rPr>
          <w:rFonts w:cs="Calibri" w:cstheme="minorHAnsi"/>
          <w:bCs/>
          <w:sz w:val="24"/>
          <w:szCs w:val="24"/>
        </w:rPr>
        <w:t xml:space="preserve">klauzula informacyjna RODO stanowi załącznik nr 7 do </w:t>
      </w:r>
      <w:r>
        <w:rPr>
          <w:rFonts w:cs="Calibri" w:cstheme="minorHAnsi"/>
          <w:bCs/>
          <w:i/>
          <w:sz w:val="24"/>
          <w:szCs w:val="24"/>
        </w:rPr>
        <w:t>Procedury zgłoszeń zewnętrznych.</w:t>
      </w:r>
    </w:p>
    <w:p>
      <w:pPr>
        <w:pStyle w:val="ListParagraph"/>
        <w:ind w:left="786"/>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Charakter działań następczych podejmowanych w związku ze zgłoszeniem zewnętrznym</w:t>
      </w:r>
    </w:p>
    <w:p>
      <w:pPr>
        <w:pStyle w:val="Normal"/>
        <w:ind w:firstLine="425" w:left="851"/>
        <w:jc w:val="both"/>
        <w:rPr>
          <w:rFonts w:cs="Calibri" w:cstheme="minorHAnsi"/>
          <w:sz w:val="24"/>
          <w:szCs w:val="24"/>
        </w:rPr>
      </w:pPr>
      <w:r>
        <w:rPr>
          <w:rFonts w:cs="Calibri" w:cstheme="minorHAnsi"/>
          <w:sz w:val="24"/>
          <w:szCs w:val="24"/>
        </w:rPr>
        <w:t xml:space="preserve">Po przyjęciu zgłoszenia zewnętrznego osoba upoważniona przez Komendanta </w:t>
      </w:r>
      <w:r>
        <w:rPr>
          <w:rFonts w:cs="Calibri" w:cstheme="minorHAnsi"/>
          <w:sz w:val="24"/>
          <w:szCs w:val="24"/>
        </w:rPr>
        <w:t>Powiatowego</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dokonuje wstępnej weryfikacji zgłoszenia </w:t>
      </w:r>
      <w:r>
        <w:rPr>
          <w:rFonts w:cs="Calibri" w:cstheme="minorHAnsi"/>
          <w:spacing w:val="-6"/>
          <w:sz w:val="24"/>
          <w:szCs w:val="24"/>
        </w:rPr>
        <w:t>zewnętrznego, polegającej na ustaleniu, czy zgłoszenie dotyczy informacji o naruszeniu</w:t>
      </w:r>
      <w:r>
        <w:rPr>
          <w:rFonts w:cs="Calibri" w:cstheme="minorHAnsi"/>
          <w:sz w:val="24"/>
          <w:szCs w:val="24"/>
        </w:rPr>
        <w:t xml:space="preserve"> prawa, oraz na ustaleniu, czy zgłoszenie dotyczy naruszeń prawa w dziedzinie należącej do zakresu działania Komendy </w:t>
      </w:r>
      <w:r>
        <w:rPr>
          <w:rFonts w:cs="Calibri" w:cstheme="minorHAnsi"/>
          <w:sz w:val="24"/>
          <w:szCs w:val="24"/>
        </w:rPr>
        <w:t>Powiatowej</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a jeżeli nie należy - na ustaleniu organu publicznego właściwego do podjęcia działań następczych</w:t>
      </w:r>
    </w:p>
    <w:p>
      <w:pPr>
        <w:pStyle w:val="Normal"/>
        <w:ind w:firstLine="425" w:left="851"/>
        <w:jc w:val="both"/>
        <w:rPr>
          <w:rFonts w:cs="Calibri" w:cstheme="minorHAnsi"/>
          <w:sz w:val="24"/>
          <w:szCs w:val="24"/>
        </w:rPr>
      </w:pPr>
      <w:r>
        <w:rPr>
          <w:rFonts w:cs="Calibri" w:cstheme="minorHAnsi"/>
          <w:sz w:val="24"/>
          <w:szCs w:val="24"/>
        </w:rPr>
        <w:t xml:space="preserve">Komendant </w:t>
      </w:r>
      <w:r>
        <w:rPr>
          <w:rFonts w:cs="Calibri" w:cstheme="minorHAnsi"/>
          <w:sz w:val="24"/>
          <w:szCs w:val="24"/>
        </w:rPr>
        <w:t xml:space="preserve">Powiatowy </w:t>
      </w:r>
      <w:r>
        <w:rPr>
          <w:rFonts w:cs="Calibri" w:cstheme="minorHAnsi"/>
          <w:sz w:val="24"/>
          <w:szCs w:val="24"/>
        </w:rPr>
        <w:t>Policji w  R</w:t>
      </w:r>
      <w:r>
        <w:rPr>
          <w:rFonts w:cs="Calibri" w:cstheme="minorHAnsi"/>
          <w:sz w:val="24"/>
          <w:szCs w:val="24"/>
        </w:rPr>
        <w:t>opczycach</w:t>
      </w:r>
      <w:r>
        <w:rPr>
          <w:rFonts w:cs="Calibri" w:cstheme="minorHAnsi"/>
          <w:sz w:val="24"/>
          <w:szCs w:val="24"/>
        </w:rPr>
        <w:t xml:space="preserve"> podejmuje działania następcze </w:t>
        <w:br/>
        <w:t xml:space="preserve">w celu oceny prawdziwości  informacji zawartych w zgłoszeniu zewnętrznym oraz </w:t>
        <w:br/>
        <w:t xml:space="preserve">w celu przeciwdziałania naruszeniu prawa będącemu przedmiotem zgłoszenia. Działaniami tymi są w szczególności: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w:t>
        <w:br/>
        <w:t>i podejmowania działań następczych.</w:t>
      </w:r>
    </w:p>
    <w:p>
      <w:pPr>
        <w:pStyle w:val="Normal"/>
        <w:ind w:firstLine="425" w:left="851"/>
        <w:jc w:val="both"/>
        <w:rPr>
          <w:rFonts w:cs="Calibri" w:cstheme="minorHAnsi"/>
          <w:sz w:val="24"/>
          <w:szCs w:val="24"/>
        </w:rPr>
      </w:pPr>
      <w:r>
        <w:rPr>
          <w:rFonts w:cs="Calibri" w:cstheme="minorHAnsi"/>
          <w:sz w:val="24"/>
          <w:szCs w:val="24"/>
        </w:rPr>
        <w:t xml:space="preserve">Jeżeli zgłoszenie zewnętrzne nie należy do zakresu działania Komendy </w:t>
      </w:r>
      <w:r>
        <w:rPr>
          <w:rFonts w:cs="Calibri" w:cstheme="minorHAnsi"/>
          <w:sz w:val="24"/>
          <w:szCs w:val="24"/>
        </w:rPr>
        <w:t>Powiatowej</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Komendant </w:t>
      </w:r>
      <w:r>
        <w:rPr>
          <w:rFonts w:cs="Calibri" w:cstheme="minorHAnsi"/>
          <w:sz w:val="24"/>
          <w:szCs w:val="24"/>
        </w:rPr>
        <w:t>Powiatowy</w:t>
      </w:r>
      <w:r>
        <w:rPr>
          <w:rFonts w:cs="Calibri" w:cstheme="minorHAnsi"/>
          <w:sz w:val="24"/>
          <w:szCs w:val="24"/>
        </w:rPr>
        <w:t xml:space="preserve"> Policji w  R</w:t>
      </w:r>
      <w:r>
        <w:rPr>
          <w:rFonts w:cs="Calibri" w:cstheme="minorHAnsi"/>
          <w:sz w:val="24"/>
          <w:szCs w:val="24"/>
        </w:rPr>
        <w:t>opczycach</w:t>
      </w:r>
      <w:r>
        <w:rPr>
          <w:rFonts w:cs="Calibri" w:cstheme="minorHAnsi"/>
          <w:sz w:val="24"/>
          <w:szCs w:val="24"/>
        </w:rPr>
        <w:t xml:space="preserve"> przekazuje zgłoszenie zewnętrzne niezwłocznie, nie później jednak niż w terminie 14 dni od dnia dokonania zgłoszenia, a w uzasadnionych przypadkach - nie później niż </w:t>
        <w:br/>
        <w:t>w terminie 30 dni, do organu publicznego właściwego do podjęcia działań następczych  oraz informuje o tym sygnalistę.</w:t>
      </w:r>
    </w:p>
    <w:p>
      <w:pPr>
        <w:pStyle w:val="ListParagraph"/>
        <w:numPr>
          <w:ilvl w:val="0"/>
          <w:numId w:val="1"/>
        </w:numPr>
        <w:jc w:val="both"/>
        <w:rPr>
          <w:rFonts w:cs="Calibri" w:cstheme="minorHAnsi"/>
          <w:b/>
          <w:sz w:val="24"/>
          <w:szCs w:val="24"/>
        </w:rPr>
      </w:pPr>
      <w:r>
        <w:rPr>
          <w:rFonts w:cs="Calibri" w:cstheme="minorHAnsi"/>
          <w:b/>
          <w:sz w:val="24"/>
          <w:szCs w:val="24"/>
        </w:rPr>
        <w:t>Środki ochrony prawnej i procedury służące ochronie sygnalisty oraz dostępności poufnej porady dla osób rozważających dokonanie zgłoszenia zewnętrznego</w:t>
      </w:r>
    </w:p>
    <w:p>
      <w:pPr>
        <w:pStyle w:val="ListParagraph"/>
        <w:ind w:left="851"/>
        <w:jc w:val="both"/>
        <w:rPr>
          <w:rFonts w:cs="Calibri" w:cstheme="minorHAnsi"/>
          <w:b/>
          <w:sz w:val="24"/>
          <w:szCs w:val="24"/>
        </w:rPr>
      </w:pPr>
      <w:r>
        <w:rPr>
          <w:rFonts w:cs="Calibri" w:cstheme="minorHAnsi"/>
          <w:b/>
          <w:sz w:val="24"/>
          <w:szCs w:val="24"/>
        </w:rPr>
      </w:r>
    </w:p>
    <w:p>
      <w:pPr>
        <w:pStyle w:val="ListParagraph"/>
        <w:numPr>
          <w:ilvl w:val="0"/>
          <w:numId w:val="7"/>
        </w:numPr>
        <w:ind w:hanging="283" w:left="1134"/>
        <w:jc w:val="both"/>
        <w:rPr>
          <w:rFonts w:cs="Calibri" w:cstheme="minorHAnsi"/>
          <w:sz w:val="24"/>
          <w:szCs w:val="24"/>
        </w:rPr>
      </w:pPr>
      <w:r>
        <w:rPr>
          <w:rFonts w:cs="Calibri" w:cstheme="minorHAnsi"/>
          <w:sz w:val="24"/>
          <w:szCs w:val="24"/>
        </w:rPr>
        <w:t xml:space="preserve">W ramach procedury zgłoszeń zewnętrznych Komendant </w:t>
      </w:r>
      <w:r>
        <w:rPr>
          <w:rFonts w:cs="Calibri" w:cstheme="minorHAnsi"/>
          <w:sz w:val="24"/>
          <w:szCs w:val="24"/>
        </w:rPr>
        <w:t>Powiatowy</w:t>
      </w:r>
      <w:r>
        <w:rPr>
          <w:rFonts w:cs="Calibri" w:cstheme="minorHAnsi"/>
          <w:sz w:val="24"/>
          <w:szCs w:val="24"/>
        </w:rPr>
        <w:t xml:space="preserve"> Policji </w:t>
        <w:br/>
        <w:t>w R</w:t>
      </w:r>
      <w:r>
        <w:rPr>
          <w:rFonts w:cs="Calibri" w:cstheme="minorHAnsi"/>
          <w:sz w:val="24"/>
          <w:szCs w:val="24"/>
        </w:rPr>
        <w:t>opczycach</w:t>
      </w:r>
      <w:r>
        <w:rPr>
          <w:rFonts w:cs="Calibri" w:cstheme="minorHAnsi"/>
          <w:sz w:val="24"/>
          <w:szCs w:val="24"/>
        </w:rPr>
        <w:t xml:space="preserve"> przestrzega dyspozycji zawartych w przepisach Rozdziału 2 ustawy.</w:t>
      </w:r>
    </w:p>
    <w:p>
      <w:pPr>
        <w:pStyle w:val="ListParagraph"/>
        <w:numPr>
          <w:ilvl w:val="0"/>
          <w:numId w:val="7"/>
        </w:numPr>
        <w:ind w:hanging="283" w:left="1134"/>
        <w:jc w:val="both"/>
        <w:rPr>
          <w:rFonts w:cs="Calibri" w:cstheme="minorHAnsi"/>
          <w:sz w:val="24"/>
          <w:szCs w:val="24"/>
        </w:rPr>
      </w:pPr>
      <w:r>
        <w:rPr>
          <w:rFonts w:cs="Calibri" w:cstheme="minorHAnsi"/>
          <w:sz w:val="24"/>
          <w:szCs w:val="24"/>
        </w:rPr>
        <w:t xml:space="preserve">Wobec sygnalisty nie mogą być podejmowane działania odwetowe, które </w:t>
      </w:r>
      <w:r>
        <w:rPr>
          <w:rFonts w:cs="Calibri" w:cstheme="minorHAnsi"/>
          <w:spacing w:val="-6"/>
          <w:sz w:val="24"/>
          <w:szCs w:val="24"/>
        </w:rPr>
        <w:t>spowodowane zgłoszeniem lub ujawnieniem publicznym polegają na bezpośrednim</w:t>
      </w:r>
      <w:r>
        <w:rPr>
          <w:rFonts w:cs="Calibri" w:cstheme="minorHAnsi"/>
          <w:sz w:val="24"/>
          <w:szCs w:val="24"/>
        </w:rPr>
        <w:t xml:space="preserve"> lub pośrednim działaniu lub zaniechaniu w kontekście związanym z pracą i które naruszają lub mogą naruszyć prawa sygnalisty lub wyrządzają lub mogą wyrządzić nieuzasadnioną szkodę sygnaliście, w tym bezpodstawne inicjowanie postępowań przeciwko sygnaliście.</w:t>
      </w:r>
    </w:p>
    <w:p>
      <w:pPr>
        <w:pStyle w:val="ListParagraph"/>
        <w:numPr>
          <w:ilvl w:val="0"/>
          <w:numId w:val="7"/>
        </w:numPr>
        <w:ind w:hanging="283" w:left="1134"/>
        <w:jc w:val="both"/>
        <w:rPr>
          <w:rFonts w:cs="Calibri" w:cstheme="minorHAnsi"/>
          <w:sz w:val="24"/>
          <w:szCs w:val="24"/>
        </w:rPr>
      </w:pPr>
      <w:r>
        <w:rPr>
          <w:rFonts w:cs="Calibri" w:cstheme="minorHAnsi"/>
          <w:sz w:val="24"/>
          <w:szCs w:val="24"/>
        </w:rPr>
        <w:t xml:space="preserve">Sygnalista, wobec którego dopuszczono się działań odwetowych, ma prawo do odszkodowania w wysokości nie niższej niż przeciętne miesięczne wynagrodzenie </w:t>
        <w:br/>
        <w:t xml:space="preserve">w gospodarce narodowej w poprzednim roku, ogłaszane do celów emerytalnych </w:t>
        <w:br/>
        <w:t xml:space="preserve">w Dzienniku Urzędowym Rzeczypospolitej Polskiej „Monitor Polski” przez Prezesa Głównego Urzędu Statystycznego, lub prawo do zadośćuczynienia.  </w:t>
      </w:r>
    </w:p>
    <w:p>
      <w:pPr>
        <w:pStyle w:val="ListParagraph"/>
        <w:numPr>
          <w:ilvl w:val="0"/>
          <w:numId w:val="7"/>
        </w:numPr>
        <w:ind w:hanging="283" w:left="1134"/>
        <w:jc w:val="both"/>
        <w:rPr>
          <w:rFonts w:cs="Calibri" w:cstheme="minorHAnsi"/>
          <w:sz w:val="24"/>
          <w:szCs w:val="24"/>
        </w:rPr>
      </w:pPr>
      <w:r>
        <w:rPr>
          <w:rFonts w:cs="Calibri" w:cstheme="minorHAnsi"/>
          <w:sz w:val="24"/>
          <w:szCs w:val="24"/>
        </w:rPr>
        <w:t xml:space="preserve">Osoba rozważająca dokonanie zgłoszenia zewnętrznego może uzyskać poufną poradę poprzez  kontakt telefoniczny  pod numerem telefonu: </w:t>
      </w:r>
      <w:r>
        <w:rPr>
          <w:rFonts w:cs="Calibri" w:cstheme="minorHAnsi"/>
          <w:b/>
          <w:sz w:val="24"/>
          <w:szCs w:val="24"/>
        </w:rPr>
        <w:t>47 8</w:t>
      </w:r>
      <w:r>
        <w:rPr>
          <w:rFonts w:cs="Calibri" w:cstheme="minorHAnsi"/>
          <w:b/>
          <w:sz w:val="24"/>
          <w:szCs w:val="24"/>
        </w:rPr>
        <w:t>224</w:t>
      </w:r>
      <w:r>
        <w:rPr>
          <w:rFonts w:cs="Calibri" w:cstheme="minorHAnsi"/>
          <w:b/>
          <w:sz w:val="24"/>
          <w:szCs w:val="24"/>
        </w:rPr>
        <w:t xml:space="preserve"> 310</w:t>
      </w:r>
      <w:r>
        <w:rPr>
          <w:rFonts w:cs="Calibri" w:cstheme="minorHAnsi"/>
          <w:sz w:val="24"/>
          <w:szCs w:val="24"/>
        </w:rPr>
        <w:t xml:space="preserve"> lub </w:t>
      </w:r>
      <w:r>
        <w:rPr>
          <w:rFonts w:cs="Calibri" w:cstheme="minorHAnsi"/>
          <w:b/>
          <w:sz w:val="24"/>
          <w:szCs w:val="24"/>
        </w:rPr>
        <w:t>47 8</w:t>
      </w:r>
      <w:r>
        <w:rPr>
          <w:rFonts w:cs="Calibri" w:cstheme="minorHAnsi"/>
          <w:b/>
          <w:sz w:val="24"/>
          <w:szCs w:val="24"/>
        </w:rPr>
        <w:t>224 348</w:t>
      </w:r>
    </w:p>
    <w:p>
      <w:pPr>
        <w:pStyle w:val="ListParagraph"/>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 xml:space="preserve">Warunki, na jakich sygnalista jest chroniony przed ponoszeniem odpowiedzialności za naruszenie poufności </w:t>
      </w:r>
    </w:p>
    <w:p>
      <w:pPr>
        <w:pStyle w:val="ListParagraph"/>
        <w:numPr>
          <w:ilvl w:val="0"/>
          <w:numId w:val="8"/>
        </w:numPr>
        <w:ind w:hanging="283" w:left="1134"/>
        <w:jc w:val="both"/>
        <w:rPr>
          <w:rFonts w:cs="Calibri" w:cstheme="minorHAnsi"/>
          <w:sz w:val="24"/>
          <w:szCs w:val="24"/>
        </w:rPr>
      </w:pPr>
      <w:r>
        <w:rPr>
          <w:rFonts w:cs="Calibri" w:cstheme="minorHAnsi"/>
          <w:sz w:val="24"/>
          <w:szCs w:val="24"/>
        </w:rPr>
        <w:t xml:space="preserve">Dokonanie zgłoszenia lub ujawnienia publicznego nie może stanowić podstawy </w:t>
      </w:r>
      <w:r>
        <w:rPr>
          <w:rFonts w:cs="Calibri" w:cstheme="minorHAnsi"/>
          <w:spacing w:val="-4"/>
          <w:sz w:val="24"/>
          <w:szCs w:val="24"/>
        </w:rPr>
        <w:t>odpowiedzialności, w tym odpowiedzialności dyscyplinarnej  lub odpowiedzialności</w:t>
      </w:r>
      <w:r>
        <w:rPr>
          <w:rFonts w:cs="Calibri" w:cstheme="minorHAnsi"/>
          <w:sz w:val="24"/>
          <w:szCs w:val="24"/>
        </w:rPr>
        <w:t xml:space="preserve"> za szkodę z tytułu naruszenia praw innych osób lub obowiązków określonych </w:t>
        <w:br/>
        <w:t>w przepisach prawa, w szczególności w przedmiocie zniesławienia, naruszenia dóbr osobistych, praw autorskich, ochrony danych osobowych oraz obowiązku zachowania tajemnicy, w tym tajemnicy przedsiębiorstwa, pod warunkiem że sygnalista miał uzasadnione podstawy sądzić, że zgłoszenie lub ujawnienie publiczne jest niezbędne do ujawnienia naruszenia prawa zgodnie z ustawą.</w:t>
      </w:r>
    </w:p>
    <w:p>
      <w:pPr>
        <w:pStyle w:val="ListParagraph"/>
        <w:numPr>
          <w:ilvl w:val="0"/>
          <w:numId w:val="8"/>
        </w:numPr>
        <w:ind w:hanging="283" w:left="1134"/>
        <w:jc w:val="both"/>
        <w:rPr>
          <w:rFonts w:cs="Calibri" w:cstheme="minorHAnsi"/>
          <w:sz w:val="24"/>
          <w:szCs w:val="24"/>
        </w:rPr>
      </w:pPr>
      <w:r>
        <w:rPr>
          <w:rFonts w:cs="Calibri" w:cstheme="minorHAnsi"/>
          <w:sz w:val="24"/>
          <w:szCs w:val="24"/>
        </w:rPr>
        <w:t>W przypadku wszczęcia postępowania prawnego dotyczącego odpowiedzialności związanej z dokonaniem zgłoszenia lub ujawnienia publicznego, sygnalista może wystąpić o umorzenie takiego postępowania.</w:t>
      </w:r>
    </w:p>
    <w:p>
      <w:pPr>
        <w:pStyle w:val="ListParagraph"/>
        <w:rPr>
          <w:rFonts w:cs="Calibri" w:cstheme="minorHAnsi"/>
          <w:sz w:val="24"/>
          <w:szCs w:val="24"/>
        </w:rPr>
      </w:pPr>
      <w:r>
        <w:rPr>
          <w:rFonts w:cs="Calibri" w:cstheme="minorHAnsi"/>
          <w:sz w:val="24"/>
          <w:szCs w:val="24"/>
        </w:rPr>
      </w:r>
    </w:p>
    <w:p>
      <w:pPr>
        <w:pStyle w:val="ListParagraph"/>
        <w:numPr>
          <w:ilvl w:val="0"/>
          <w:numId w:val="8"/>
        </w:numPr>
        <w:ind w:hanging="283" w:left="1134"/>
        <w:jc w:val="both"/>
        <w:rPr>
          <w:rFonts w:cs="Calibri" w:cstheme="minorHAnsi"/>
          <w:sz w:val="24"/>
          <w:szCs w:val="24"/>
        </w:rPr>
      </w:pPr>
      <w:r>
        <w:rPr>
          <w:rFonts w:cs="Calibri" w:cstheme="minorHAnsi"/>
          <w:sz w:val="24"/>
          <w:szCs w:val="24"/>
        </w:rPr>
        <w:t xml:space="preserve">Ustawy nie stosuje się  i tym samym na podstawie jej przepisów </w:t>
      </w:r>
      <w:r>
        <w:rPr>
          <w:rFonts w:cs="Calibri" w:cstheme="minorHAnsi"/>
          <w:b/>
          <w:sz w:val="24"/>
          <w:szCs w:val="24"/>
        </w:rPr>
        <w:t>nie może zostać zniesiona odpowiedzialność</w:t>
      </w:r>
      <w:r>
        <w:rPr>
          <w:rFonts w:cs="Calibri" w:cstheme="minorHAnsi"/>
          <w:sz w:val="24"/>
          <w:szCs w:val="24"/>
        </w:rPr>
        <w:t xml:space="preserve"> za dokonanie zgłoszenia lub ujawnienia publicznego zawierającego informację objętą: </w:t>
      </w:r>
    </w:p>
    <w:p>
      <w:pPr>
        <w:pStyle w:val="ListParagraph"/>
        <w:spacing w:lineRule="auto" w:line="240" w:before="0" w:after="0"/>
        <w:ind w:hanging="142" w:left="1276"/>
        <w:contextualSpacing/>
        <w:jc w:val="both"/>
        <w:rPr>
          <w:rFonts w:eastAsia="Times New Roman" w:cs="Calibri" w:cstheme="minorHAnsi"/>
          <w:sz w:val="24"/>
          <w:szCs w:val="24"/>
          <w:lang w:eastAsia="pl-PL"/>
        </w:rPr>
      </w:pPr>
      <w:r>
        <w:rPr>
          <w:rFonts w:eastAsia="Times New Roman" w:cs="Calibri" w:cstheme="minorHAnsi"/>
          <w:sz w:val="24"/>
          <w:szCs w:val="24"/>
          <w:lang w:eastAsia="pl-PL"/>
        </w:rPr>
        <w:t>- przepisami o ochronie informacji niejawnych oraz innych informacji, które nie podlegają ujawnieniu z mocy przepisów prawa powszechnie obowiązującego ze względów bezpieczeństwa publicznego;</w:t>
      </w:r>
    </w:p>
    <w:p>
      <w:pPr>
        <w:pStyle w:val="Normal"/>
        <w:spacing w:lineRule="auto" w:line="240" w:before="0" w:after="0"/>
        <w:ind w:firstLine="708" w:left="426"/>
        <w:rPr>
          <w:rFonts w:eastAsia="Times New Roman" w:cs="Calibri" w:cstheme="minorHAnsi"/>
          <w:sz w:val="24"/>
          <w:szCs w:val="24"/>
          <w:lang w:eastAsia="pl-PL"/>
        </w:rPr>
      </w:pPr>
      <w:r>
        <w:rPr>
          <w:rFonts w:eastAsia="Times New Roman" w:cs="Calibri" w:cstheme="minorHAnsi"/>
          <w:sz w:val="24"/>
          <w:szCs w:val="24"/>
          <w:lang w:eastAsia="pl-PL"/>
        </w:rPr>
        <w:t>- tajemnicą zawodową zawodów medycznych oraz prawniczych;</w:t>
      </w:r>
    </w:p>
    <w:p>
      <w:pPr>
        <w:pStyle w:val="Normal"/>
        <w:spacing w:lineRule="auto" w:line="240" w:before="0" w:after="0"/>
        <w:ind w:firstLine="708" w:left="426"/>
        <w:rPr>
          <w:rFonts w:eastAsia="Times New Roman" w:cs="Calibri" w:cstheme="minorHAnsi"/>
          <w:sz w:val="24"/>
          <w:szCs w:val="24"/>
          <w:lang w:eastAsia="pl-PL"/>
        </w:rPr>
      </w:pPr>
      <w:r>
        <w:rPr>
          <w:rFonts w:eastAsia="Times New Roman" w:cs="Calibri" w:cstheme="minorHAnsi"/>
          <w:sz w:val="24"/>
          <w:szCs w:val="24"/>
          <w:lang w:eastAsia="pl-PL"/>
        </w:rPr>
        <w:t>- tajemnicą narady sędziowskiej;</w:t>
      </w:r>
    </w:p>
    <w:p>
      <w:pPr>
        <w:pStyle w:val="Normal"/>
        <w:spacing w:lineRule="auto" w:line="240" w:before="0" w:after="0"/>
        <w:ind w:hanging="142" w:left="1276"/>
        <w:jc w:val="both"/>
        <w:rPr>
          <w:rFonts w:eastAsia="Times New Roman" w:cs="Calibri" w:cstheme="minorHAnsi"/>
          <w:sz w:val="24"/>
          <w:szCs w:val="24"/>
          <w:lang w:eastAsia="pl-PL"/>
        </w:rPr>
      </w:pPr>
      <w:r>
        <w:rPr>
          <w:rFonts w:eastAsia="Times New Roman" w:cs="Calibri" w:cstheme="minorHAnsi"/>
          <w:spacing w:val="-6"/>
          <w:sz w:val="24"/>
          <w:szCs w:val="24"/>
          <w:lang w:eastAsia="pl-PL"/>
        </w:rPr>
        <w:t>- postępowaniem karnym - w zakresie tajemnicy postępowania przygotowawczego</w:t>
      </w:r>
      <w:r>
        <w:rPr>
          <w:rFonts w:eastAsia="Times New Roman" w:cs="Calibri" w:cstheme="minorHAnsi"/>
          <w:sz w:val="24"/>
          <w:szCs w:val="24"/>
          <w:lang w:eastAsia="pl-PL"/>
        </w:rPr>
        <w:t xml:space="preserve"> oraz tajemnicy rozprawy sądowej prowadzonej z wyłączeniem jawności.</w:t>
      </w:r>
    </w:p>
    <w:p>
      <w:pPr>
        <w:pStyle w:val="ListParagraph"/>
        <w:numPr>
          <w:ilvl w:val="0"/>
          <w:numId w:val="9"/>
        </w:numPr>
        <w:spacing w:lineRule="auto" w:line="240" w:before="0" w:after="0"/>
        <w:ind w:hanging="425" w:left="1276"/>
        <w:contextualSpacing/>
        <w:jc w:val="both"/>
        <w:rPr>
          <w:rFonts w:eastAsia="Times New Roman" w:cs="Calibri" w:cstheme="minorHAnsi"/>
          <w:sz w:val="24"/>
          <w:szCs w:val="24"/>
          <w:lang w:eastAsia="pl-PL"/>
        </w:rPr>
      </w:pPr>
      <w:r>
        <w:rPr>
          <w:rFonts w:cs="Calibri" w:cstheme="minorHAnsi"/>
          <w:sz w:val="24"/>
          <w:szCs w:val="24"/>
        </w:rPr>
        <w:t xml:space="preserve">Ustawy nie stosuje się do naruszeń prawa w zakresie zamówień w dziedzinach obronności i bezpieczeństwa w rozumieniu </w:t>
      </w:r>
      <w:hyperlink r:id="rId5">
        <w:r>
          <w:rPr>
            <w:rStyle w:val="Hyperlink"/>
            <w:rFonts w:cs="Calibri" w:cstheme="minorHAnsi"/>
            <w:color w:val="auto"/>
            <w:sz w:val="24"/>
            <w:szCs w:val="24"/>
            <w:u w:val="none"/>
          </w:rPr>
          <w:t>art. 7 pkt 36</w:t>
        </w:r>
      </w:hyperlink>
      <w:r>
        <w:rPr>
          <w:rFonts w:cs="Calibri" w:cstheme="minorHAnsi"/>
          <w:sz w:val="24"/>
          <w:szCs w:val="24"/>
        </w:rPr>
        <w:t xml:space="preserve"> ustawy z dnia 11 września 2019 r. - Prawo zamówień publicznych (Dz.U. z 2023 r. </w:t>
      </w:r>
      <w:hyperlink r:id="rId6">
        <w:r>
          <w:rPr>
            <w:rStyle w:val="Hyperlink"/>
            <w:rFonts w:cs="Calibri" w:cstheme="minorHAnsi"/>
            <w:color w:val="auto"/>
            <w:sz w:val="24"/>
            <w:szCs w:val="24"/>
            <w:u w:val="none"/>
          </w:rPr>
          <w:t>poz. 1605</w:t>
        </w:r>
      </w:hyperlink>
      <w:r>
        <w:rPr>
          <w:rFonts w:cs="Calibri" w:cstheme="minorHAnsi"/>
          <w:sz w:val="24"/>
          <w:szCs w:val="24"/>
        </w:rPr>
        <w:t xml:space="preserve"> i </w:t>
      </w:r>
      <w:hyperlink r:id="rId7">
        <w:r>
          <w:rPr>
            <w:rStyle w:val="Hyperlink"/>
            <w:rFonts w:cs="Calibri" w:cstheme="minorHAnsi"/>
            <w:color w:val="auto"/>
            <w:sz w:val="24"/>
            <w:szCs w:val="24"/>
            <w:u w:val="none"/>
          </w:rPr>
          <w:t>1720</w:t>
        </w:r>
      </w:hyperlink>
      <w:r>
        <w:rPr>
          <w:rFonts w:cs="Calibri" w:cstheme="minorHAnsi"/>
          <w:sz w:val="24"/>
          <w:szCs w:val="24"/>
        </w:rPr>
        <w:t xml:space="preserve">), do których nie stosuje się tej ustawy, umów offsetowych zawieranych na podstawie ustawy z dnia 26 czerwca 2014 r. o niektórych umowach zawieranych w związku z realizacją zamówień o podstawowym znaczeniu dla bezpieczeństwa państwa (Dz.U. z 2022 r. </w:t>
      </w:r>
      <w:hyperlink r:id="rId8">
        <w:r>
          <w:rPr>
            <w:rStyle w:val="Hyperlink"/>
            <w:rFonts w:cs="Calibri" w:cstheme="minorHAnsi"/>
            <w:color w:val="auto"/>
            <w:sz w:val="24"/>
            <w:szCs w:val="24"/>
            <w:u w:val="none"/>
          </w:rPr>
          <w:t>poz. 1218</w:t>
        </w:r>
      </w:hyperlink>
      <w:r>
        <w:rPr>
          <w:rFonts w:cs="Calibri" w:cstheme="minorHAnsi"/>
          <w:sz w:val="24"/>
          <w:szCs w:val="24"/>
        </w:rPr>
        <w:t xml:space="preserve">) oraz innych środków podejmowanych w celu ochrony podstawowych lub istotnych interesów bezpieczeństwa państwa na podstawie </w:t>
      </w:r>
      <w:hyperlink r:id="rId9">
        <w:r>
          <w:rPr>
            <w:rStyle w:val="Hyperlink"/>
            <w:rFonts w:cs="Calibri" w:cstheme="minorHAnsi"/>
            <w:color w:val="auto"/>
            <w:sz w:val="24"/>
            <w:szCs w:val="24"/>
            <w:u w:val="none"/>
          </w:rPr>
          <w:t>art. 346</w:t>
        </w:r>
      </w:hyperlink>
      <w:r>
        <w:rPr>
          <w:rFonts w:cs="Calibri" w:cstheme="minorHAnsi"/>
          <w:sz w:val="24"/>
          <w:szCs w:val="24"/>
        </w:rPr>
        <w:t xml:space="preserve"> Traktatu o funkcjonowaniu Unii Europejskiej.</w:t>
      </w:r>
    </w:p>
    <w:p>
      <w:pPr>
        <w:pStyle w:val="Normal"/>
        <w:spacing w:lineRule="auto" w:line="240" w:before="0" w:after="0"/>
        <w:jc w:val="both"/>
        <w:rPr>
          <w:rFonts w:eastAsia="Times New Roman" w:cs="Calibri" w:cstheme="minorHAnsi"/>
          <w:sz w:val="24"/>
          <w:szCs w:val="24"/>
          <w:lang w:eastAsia="pl-PL"/>
        </w:rPr>
      </w:pPr>
      <w:r>
        <w:rPr>
          <w:rFonts w:eastAsia="Times New Roman" w:cs="Calibri" w:cstheme="minorHAnsi"/>
          <w:sz w:val="24"/>
          <w:szCs w:val="24"/>
          <w:lang w:eastAsia="pl-PL"/>
        </w:rPr>
      </w:r>
      <w:bookmarkStart w:id="0" w:name="_GoBack"/>
      <w:bookmarkStart w:id="1" w:name="_GoBack"/>
      <w:bookmarkEnd w:id="1"/>
    </w:p>
    <w:p>
      <w:pPr>
        <w:pStyle w:val="ListParagraph"/>
        <w:numPr>
          <w:ilvl w:val="0"/>
          <w:numId w:val="1"/>
        </w:numPr>
        <w:spacing w:lineRule="auto" w:line="240" w:before="0" w:after="0"/>
        <w:contextualSpacing/>
        <w:jc w:val="both"/>
        <w:rPr>
          <w:rFonts w:eastAsia="Times New Roman" w:cs="Calibri" w:cstheme="minorHAnsi"/>
          <w:b/>
          <w:sz w:val="24"/>
          <w:szCs w:val="24"/>
          <w:lang w:eastAsia="pl-PL"/>
        </w:rPr>
      </w:pPr>
      <w:r>
        <w:rPr>
          <w:rFonts w:eastAsia="Times New Roman" w:cs="Calibri" w:cstheme="minorHAnsi"/>
          <w:b/>
          <w:sz w:val="24"/>
          <w:szCs w:val="24"/>
          <w:lang w:eastAsia="pl-PL"/>
        </w:rPr>
        <w:t>Zachęta od skorzystania z procedury zgłoszeń wewnętrznych</w:t>
      </w:r>
    </w:p>
    <w:p>
      <w:pPr>
        <w:pStyle w:val="Normal"/>
        <w:spacing w:lineRule="auto" w:line="240" w:before="0" w:after="0"/>
        <w:ind w:firstLine="851"/>
        <w:jc w:val="both"/>
        <w:rPr>
          <w:rFonts w:eastAsia="Times New Roman" w:cs="Calibri" w:cstheme="minorHAnsi"/>
          <w:sz w:val="24"/>
          <w:szCs w:val="24"/>
          <w:lang w:eastAsia="pl-PL"/>
        </w:rPr>
      </w:pPr>
      <w:r>
        <w:rPr>
          <w:rFonts w:eastAsia="Times New Roman" w:cs="Calibri" w:cstheme="minorHAnsi"/>
          <w:sz w:val="24"/>
          <w:szCs w:val="24"/>
          <w:lang w:eastAsia="pl-PL"/>
        </w:rPr>
        <w:t>W przypadku, gdy naruszeniu prawa można skutecznie zaradzić w ramach struktury organizacyjnej podmiotu prawnego wobec którego sygnalista zamierza zgłosić lub ujawnić publicznie informację o naruszeniu prawa a nie zachodzi ryzyko działań odwetowych zasadne jest skorzystanie z procedury zgłoszeń wewnętrznych.</w:t>
      </w:r>
    </w:p>
    <w:p>
      <w:pPr>
        <w:pStyle w:val="Normal"/>
        <w:spacing w:lineRule="auto" w:line="240" w:before="0" w:after="0"/>
        <w:ind w:firstLine="851"/>
        <w:jc w:val="both"/>
        <w:rPr>
          <w:rFonts w:cs="Calibri" w:cstheme="minorHAnsi"/>
          <w:sz w:val="24"/>
          <w:szCs w:val="24"/>
        </w:rPr>
      </w:pPr>
      <w:r>
        <w:rPr>
          <w:rFonts w:cs="Calibri" w:cstheme="minorHAnsi"/>
          <w:sz w:val="24"/>
          <w:szCs w:val="24"/>
        </w:rPr>
      </w:r>
    </w:p>
    <w:p>
      <w:pPr>
        <w:pStyle w:val="ListParagraph"/>
        <w:numPr>
          <w:ilvl w:val="0"/>
          <w:numId w:val="1"/>
        </w:numPr>
        <w:jc w:val="both"/>
        <w:rPr>
          <w:rFonts w:cs="Calibri" w:cstheme="minorHAnsi"/>
          <w:b/>
          <w:sz w:val="24"/>
          <w:szCs w:val="24"/>
        </w:rPr>
      </w:pPr>
      <w:r>
        <w:rPr>
          <w:rFonts w:cs="Calibri" w:cstheme="minorHAnsi"/>
          <w:b/>
          <w:sz w:val="24"/>
          <w:szCs w:val="24"/>
        </w:rPr>
        <w:t>Dane kontaktowe Rzecznika Praw Obywatelskich</w:t>
      </w:r>
    </w:p>
    <w:p>
      <w:pPr>
        <w:pStyle w:val="NormalWeb"/>
        <w:spacing w:beforeAutospacing="0" w:before="0" w:afterAutospacing="0" w:after="0"/>
        <w:ind w:firstLine="490" w:left="786"/>
        <w:rPr>
          <w:rFonts w:ascii="Calibri" w:hAnsi="Calibri" w:cs="Calibri" w:asciiTheme="minorHAnsi" w:cstheme="minorHAnsi" w:hAnsiTheme="minorHAnsi"/>
        </w:rPr>
      </w:pPr>
      <w:r>
        <w:rPr>
          <w:rFonts w:cs="Calibri" w:ascii="Calibri" w:hAnsi="Calibri" w:asciiTheme="minorHAnsi" w:cstheme="minorHAnsi" w:hAnsiTheme="minorHAnsi"/>
        </w:rPr>
        <w:t xml:space="preserve">Biuro Rzecznika Praw Obywatelskich </w:t>
      </w:r>
    </w:p>
    <w:p>
      <w:pPr>
        <w:pStyle w:val="NormalWeb"/>
        <w:spacing w:beforeAutospacing="0" w:before="0" w:afterAutospacing="0" w:after="0"/>
        <w:ind w:firstLine="490" w:left="786"/>
        <w:rPr>
          <w:rFonts w:ascii="Calibri" w:hAnsi="Calibri" w:cs="Calibri" w:asciiTheme="minorHAnsi" w:cstheme="minorHAnsi" w:hAnsiTheme="minorHAnsi"/>
        </w:rPr>
      </w:pPr>
      <w:r>
        <w:rPr>
          <w:rFonts w:cs="Calibri" w:ascii="Calibri" w:hAnsi="Calibri" w:asciiTheme="minorHAnsi" w:cstheme="minorHAnsi" w:hAnsiTheme="minorHAnsi"/>
        </w:rPr>
        <w:t>al. Solidarności 77</w:t>
      </w:r>
    </w:p>
    <w:p>
      <w:pPr>
        <w:pStyle w:val="NormalWeb"/>
        <w:spacing w:beforeAutospacing="0" w:before="0" w:afterAutospacing="0" w:after="0"/>
        <w:ind w:firstLine="490" w:left="786"/>
        <w:rPr>
          <w:rFonts w:ascii="Calibri" w:hAnsi="Calibri" w:cs="Calibri" w:asciiTheme="minorHAnsi" w:cstheme="minorHAnsi" w:hAnsiTheme="minorHAnsi"/>
        </w:rPr>
      </w:pPr>
      <w:r>
        <w:rPr>
          <w:rFonts w:cs="Calibri" w:ascii="Calibri" w:hAnsi="Calibri" w:asciiTheme="minorHAnsi" w:cstheme="minorHAnsi" w:hAnsiTheme="minorHAnsi"/>
        </w:rPr>
        <w:t>00-090 Warszawa</w:t>
      </w:r>
    </w:p>
    <w:p>
      <w:pPr>
        <w:pStyle w:val="Normal"/>
        <w:spacing w:lineRule="auto" w:line="240" w:before="0" w:after="0"/>
        <w:ind w:firstLine="708" w:left="568"/>
        <w:rPr>
          <w:rFonts w:eastAsia="Times New Roman" w:cs="Calibri" w:cstheme="minorHAnsi"/>
          <w:sz w:val="24"/>
          <w:szCs w:val="24"/>
          <w:lang w:eastAsia="pl-PL"/>
        </w:rPr>
      </w:pPr>
      <w:r>
        <w:rPr>
          <w:rFonts w:eastAsia="Times New Roman" w:cs="Calibri" w:cstheme="minorHAnsi"/>
          <w:sz w:val="24"/>
          <w:szCs w:val="24"/>
          <w:lang w:eastAsia="pl-PL"/>
        </w:rPr>
        <w:t>tel. centrali: (22) 55 17 700</w:t>
      </w:r>
    </w:p>
    <w:p>
      <w:pPr>
        <w:pStyle w:val="Normal"/>
        <w:ind w:firstLine="708" w:left="568"/>
        <w:rPr>
          <w:rFonts w:cs="Calibri" w:cstheme="minorHAnsi"/>
          <w:sz w:val="24"/>
          <w:szCs w:val="24"/>
        </w:rPr>
      </w:pPr>
      <w:r>
        <w:rPr>
          <w:rFonts w:eastAsia="Times New Roman" w:cs="Calibri" w:cstheme="minorHAnsi"/>
          <w:sz w:val="24"/>
          <w:szCs w:val="24"/>
          <w:lang w:eastAsia="pl-PL"/>
        </w:rPr>
        <w:t>fax: (22) 827 64 53</w:t>
      </w:r>
    </w:p>
    <w:p>
      <w:pPr>
        <w:pStyle w:val="Normal"/>
        <w:rPr>
          <w:rFonts w:cs="Calibri" w:cstheme="minorHAnsi"/>
          <w:sz w:val="24"/>
          <w:szCs w:val="24"/>
        </w:rPr>
      </w:pPr>
      <w:r>
        <w:rPr>
          <w:rFonts w:cs="Calibri" w:cstheme="minorHAnsi"/>
          <w:sz w:val="24"/>
          <w:szCs w:val="24"/>
        </w:rPr>
      </w:r>
    </w:p>
    <w:p>
      <w:pPr>
        <w:pStyle w:val="Normal"/>
        <w:jc w:val="both"/>
        <w:rPr>
          <w:rFonts w:cs="Calibri" w:cstheme="minorHAnsi"/>
          <w:b/>
          <w:sz w:val="24"/>
          <w:szCs w:val="24"/>
        </w:rPr>
      </w:pPr>
      <w:r>
        <w:rPr>
          <w:rFonts w:cs="Calibri" w:cstheme="minorHAnsi"/>
          <w:b/>
          <w:sz w:val="24"/>
          <w:szCs w:val="24"/>
        </w:rPr>
      </w:r>
    </w:p>
    <w:p>
      <w:pPr>
        <w:pStyle w:val="Normal"/>
        <w:spacing w:before="0" w:after="160"/>
        <w:jc w:val="both"/>
        <w:rPr>
          <w:rFonts w:cs="Calibri" w:cstheme="minorHAnsi"/>
          <w:sz w:val="24"/>
          <w:szCs w:val="24"/>
        </w:rPr>
      </w:pPr>
      <w:r>
        <w:rPr>
          <w:rFonts w:cs="Calibri" w:cstheme="minorHAnsi"/>
          <w:sz w:val="24"/>
          <w:szCs w:val="24"/>
        </w:rPr>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Segoe UI">
    <w:charset w:val="ee"/>
    <w:family w:val="swiss"/>
    <w:pitch w:val="variable"/>
  </w:font>
  <w:font w:name="Liberation Sans">
    <w:altName w:val="Arial"/>
    <w:charset w:val="ee"/>
    <w:family w:val="swiss"/>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86"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3">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4">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5">
    <w:lvl w:ilvl="0">
      <w:start w:val="1"/>
      <w:numFmt w:val="bullet"/>
      <w:lvlText w:val=""/>
      <w:lvlJc w:val="left"/>
      <w:pPr>
        <w:tabs>
          <w:tab w:val="num" w:pos="0"/>
        </w:tabs>
        <w:ind w:left="1440" w:hanging="360"/>
      </w:pPr>
      <w:rPr>
        <w:rFonts w:ascii="Symbol" w:hAnsi="Symbol" w:cs="Symbol" w:hint="default"/>
      </w:rPr>
    </w:lvl>
    <w:lvl w:ilvl="1">
      <w:start w:val="1"/>
      <w:numFmt w:val="bullet"/>
      <w:lvlText w:val="o"/>
      <w:lvlJc w:val="left"/>
      <w:pPr>
        <w:tabs>
          <w:tab w:val="num" w:pos="0"/>
        </w:tabs>
        <w:ind w:left="2160" w:hanging="360"/>
      </w:pPr>
      <w:rPr>
        <w:rFonts w:ascii="Courier New" w:hAnsi="Courier New" w:cs="Courier New" w:hint="default"/>
      </w:rPr>
    </w:lvl>
    <w:lvl w:ilvl="2">
      <w:start w:val="1"/>
      <w:numFmt w:val="bullet"/>
      <w:lvlText w:val=""/>
      <w:lvlJc w:val="left"/>
      <w:pPr>
        <w:tabs>
          <w:tab w:val="num" w:pos="0"/>
        </w:tabs>
        <w:ind w:left="2880" w:hanging="360"/>
      </w:pPr>
      <w:rPr>
        <w:rFonts w:ascii="Wingdings" w:hAnsi="Wingdings" w:cs="Wingdings" w:hint="default"/>
      </w:rPr>
    </w:lvl>
    <w:lvl w:ilvl="3">
      <w:start w:val="1"/>
      <w:numFmt w:val="bullet"/>
      <w:lvlText w:val=""/>
      <w:lvlJc w:val="left"/>
      <w:pPr>
        <w:tabs>
          <w:tab w:val="num" w:pos="0"/>
        </w:tabs>
        <w:ind w:left="3600" w:hanging="360"/>
      </w:pPr>
      <w:rPr>
        <w:rFonts w:ascii="Symbol" w:hAnsi="Symbol" w:cs="Symbol" w:hint="default"/>
      </w:rPr>
    </w:lvl>
    <w:lvl w:ilvl="4">
      <w:start w:val="1"/>
      <w:numFmt w:val="bullet"/>
      <w:lvlText w:val="o"/>
      <w:lvlJc w:val="left"/>
      <w:pPr>
        <w:tabs>
          <w:tab w:val="num" w:pos="0"/>
        </w:tabs>
        <w:ind w:left="4320" w:hanging="360"/>
      </w:pPr>
      <w:rPr>
        <w:rFonts w:ascii="Courier New" w:hAnsi="Courier New" w:cs="Courier New" w:hint="default"/>
      </w:rPr>
    </w:lvl>
    <w:lvl w:ilvl="5">
      <w:start w:val="1"/>
      <w:numFmt w:val="bullet"/>
      <w:lvlText w:val=""/>
      <w:lvlJc w:val="left"/>
      <w:pPr>
        <w:tabs>
          <w:tab w:val="num" w:pos="0"/>
        </w:tabs>
        <w:ind w:left="5040" w:hanging="360"/>
      </w:pPr>
      <w:rPr>
        <w:rFonts w:ascii="Wingdings" w:hAnsi="Wingdings" w:cs="Wingdings" w:hint="default"/>
      </w:rPr>
    </w:lvl>
    <w:lvl w:ilvl="6">
      <w:start w:val="1"/>
      <w:numFmt w:val="bullet"/>
      <w:lvlText w:val=""/>
      <w:lvlJc w:val="left"/>
      <w:pPr>
        <w:tabs>
          <w:tab w:val="num" w:pos="0"/>
        </w:tabs>
        <w:ind w:left="5760" w:hanging="360"/>
      </w:pPr>
      <w:rPr>
        <w:rFonts w:ascii="Symbol" w:hAnsi="Symbol" w:cs="Symbol" w:hint="default"/>
      </w:rPr>
    </w:lvl>
    <w:lvl w:ilvl="7">
      <w:start w:val="1"/>
      <w:numFmt w:val="bullet"/>
      <w:lvlText w:val="o"/>
      <w:lvlJc w:val="left"/>
      <w:pPr>
        <w:tabs>
          <w:tab w:val="num" w:pos="0"/>
        </w:tabs>
        <w:ind w:left="6480" w:hanging="360"/>
      </w:pPr>
      <w:rPr>
        <w:rFonts w:ascii="Courier New" w:hAnsi="Courier New" w:cs="Courier New" w:hint="default"/>
      </w:rPr>
    </w:lvl>
    <w:lvl w:ilvl="8">
      <w:start w:val="1"/>
      <w:numFmt w:val="bullet"/>
      <w:lvlText w:val=""/>
      <w:lvlJc w:val="left"/>
      <w:pPr>
        <w:tabs>
          <w:tab w:val="num" w:pos="0"/>
        </w:tabs>
        <w:ind w:left="7200" w:hanging="360"/>
      </w:pPr>
      <w:rPr>
        <w:rFonts w:ascii="Wingdings" w:hAnsi="Wingdings" w:cs="Wingdings" w:hint="default"/>
      </w:rPr>
    </w:lvl>
  </w:abstractNum>
  <w:abstractNum w:abstractNumId="6">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7">
    <w:lvl w:ilvl="0">
      <w:start w:val="1"/>
      <w:numFmt w:val="bullet"/>
      <w:lvlText w:val=""/>
      <w:lvlJc w:val="left"/>
      <w:pPr>
        <w:tabs>
          <w:tab w:val="num" w:pos="0"/>
        </w:tabs>
        <w:ind w:left="1571" w:hanging="360"/>
      </w:pPr>
      <w:rPr>
        <w:rFonts w:ascii="Symbol" w:hAnsi="Symbol" w:cs="Symbol" w:hint="default"/>
      </w:rPr>
    </w:lvl>
    <w:lvl w:ilvl="1">
      <w:start w:val="1"/>
      <w:numFmt w:val="bullet"/>
      <w:lvlText w:val="o"/>
      <w:lvlJc w:val="left"/>
      <w:pPr>
        <w:tabs>
          <w:tab w:val="num" w:pos="0"/>
        </w:tabs>
        <w:ind w:left="2291" w:hanging="360"/>
      </w:pPr>
      <w:rPr>
        <w:rFonts w:ascii="Courier New" w:hAnsi="Courier New" w:cs="Courier New" w:hint="default"/>
      </w:rPr>
    </w:lvl>
    <w:lvl w:ilvl="2">
      <w:start w:val="1"/>
      <w:numFmt w:val="bullet"/>
      <w:lvlText w:val=""/>
      <w:lvlJc w:val="left"/>
      <w:pPr>
        <w:tabs>
          <w:tab w:val="num" w:pos="0"/>
        </w:tabs>
        <w:ind w:left="3011" w:hanging="360"/>
      </w:pPr>
      <w:rPr>
        <w:rFonts w:ascii="Wingdings" w:hAnsi="Wingdings" w:cs="Wingdings" w:hint="default"/>
      </w:rPr>
    </w:lvl>
    <w:lvl w:ilvl="3">
      <w:start w:val="1"/>
      <w:numFmt w:val="bullet"/>
      <w:lvlText w:val=""/>
      <w:lvlJc w:val="left"/>
      <w:pPr>
        <w:tabs>
          <w:tab w:val="num" w:pos="0"/>
        </w:tabs>
        <w:ind w:left="3731" w:hanging="360"/>
      </w:pPr>
      <w:rPr>
        <w:rFonts w:ascii="Symbol" w:hAnsi="Symbol" w:cs="Symbol" w:hint="default"/>
      </w:rPr>
    </w:lvl>
    <w:lvl w:ilvl="4">
      <w:start w:val="1"/>
      <w:numFmt w:val="bullet"/>
      <w:lvlText w:val="o"/>
      <w:lvlJc w:val="left"/>
      <w:pPr>
        <w:tabs>
          <w:tab w:val="num" w:pos="0"/>
        </w:tabs>
        <w:ind w:left="4451" w:hanging="360"/>
      </w:pPr>
      <w:rPr>
        <w:rFonts w:ascii="Courier New" w:hAnsi="Courier New" w:cs="Courier New" w:hint="default"/>
      </w:rPr>
    </w:lvl>
    <w:lvl w:ilvl="5">
      <w:start w:val="1"/>
      <w:numFmt w:val="bullet"/>
      <w:lvlText w:val=""/>
      <w:lvlJc w:val="left"/>
      <w:pPr>
        <w:tabs>
          <w:tab w:val="num" w:pos="0"/>
        </w:tabs>
        <w:ind w:left="5171" w:hanging="360"/>
      </w:pPr>
      <w:rPr>
        <w:rFonts w:ascii="Wingdings" w:hAnsi="Wingdings" w:cs="Wingdings" w:hint="default"/>
      </w:rPr>
    </w:lvl>
    <w:lvl w:ilvl="6">
      <w:start w:val="1"/>
      <w:numFmt w:val="bullet"/>
      <w:lvlText w:val=""/>
      <w:lvlJc w:val="left"/>
      <w:pPr>
        <w:tabs>
          <w:tab w:val="num" w:pos="0"/>
        </w:tabs>
        <w:ind w:left="5891" w:hanging="360"/>
      </w:pPr>
      <w:rPr>
        <w:rFonts w:ascii="Symbol" w:hAnsi="Symbol" w:cs="Symbol" w:hint="default"/>
      </w:rPr>
    </w:lvl>
    <w:lvl w:ilvl="7">
      <w:start w:val="1"/>
      <w:numFmt w:val="bullet"/>
      <w:lvlText w:val="o"/>
      <w:lvlJc w:val="left"/>
      <w:pPr>
        <w:tabs>
          <w:tab w:val="num" w:pos="0"/>
        </w:tabs>
        <w:ind w:left="6611" w:hanging="360"/>
      </w:pPr>
      <w:rPr>
        <w:rFonts w:ascii="Courier New" w:hAnsi="Courier New" w:cs="Courier New" w:hint="default"/>
      </w:rPr>
    </w:lvl>
    <w:lvl w:ilvl="8">
      <w:start w:val="1"/>
      <w:numFmt w:val="bullet"/>
      <w:lvlText w:val=""/>
      <w:lvlJc w:val="left"/>
      <w:pPr>
        <w:tabs>
          <w:tab w:val="num" w:pos="0"/>
        </w:tabs>
        <w:ind w:left="7331" w:hanging="360"/>
      </w:pPr>
      <w:rPr>
        <w:rFonts w:ascii="Wingdings" w:hAnsi="Wingdings" w:cs="Wingdings" w:hint="default"/>
      </w:rPr>
    </w:lvl>
  </w:abstractNum>
  <w:abstractNum w:abstractNumId="8">
    <w:lvl w:ilvl="0">
      <w:start w:val="1"/>
      <w:numFmt w:val="bullet"/>
      <w:lvlText w:val=""/>
      <w:lvlJc w:val="left"/>
      <w:pPr>
        <w:tabs>
          <w:tab w:val="num" w:pos="0"/>
        </w:tabs>
        <w:ind w:left="1996" w:hanging="360"/>
      </w:pPr>
      <w:rPr>
        <w:rFonts w:ascii="Symbol" w:hAnsi="Symbol" w:cs="Symbol" w:hint="default"/>
      </w:rPr>
    </w:lvl>
    <w:lvl w:ilvl="1">
      <w:start w:val="1"/>
      <w:numFmt w:val="bullet"/>
      <w:lvlText w:val="o"/>
      <w:lvlJc w:val="left"/>
      <w:pPr>
        <w:tabs>
          <w:tab w:val="num" w:pos="0"/>
        </w:tabs>
        <w:ind w:left="2716" w:hanging="360"/>
      </w:pPr>
      <w:rPr>
        <w:rFonts w:ascii="Courier New" w:hAnsi="Courier New" w:cs="Courier New" w:hint="default"/>
      </w:rPr>
    </w:lvl>
    <w:lvl w:ilvl="2">
      <w:start w:val="1"/>
      <w:numFmt w:val="bullet"/>
      <w:lvlText w:val=""/>
      <w:lvlJc w:val="left"/>
      <w:pPr>
        <w:tabs>
          <w:tab w:val="num" w:pos="0"/>
        </w:tabs>
        <w:ind w:left="3436" w:hanging="360"/>
      </w:pPr>
      <w:rPr>
        <w:rFonts w:ascii="Wingdings" w:hAnsi="Wingdings" w:cs="Wingdings" w:hint="default"/>
      </w:rPr>
    </w:lvl>
    <w:lvl w:ilvl="3">
      <w:start w:val="1"/>
      <w:numFmt w:val="bullet"/>
      <w:lvlText w:val=""/>
      <w:lvlJc w:val="left"/>
      <w:pPr>
        <w:tabs>
          <w:tab w:val="num" w:pos="0"/>
        </w:tabs>
        <w:ind w:left="4156" w:hanging="360"/>
      </w:pPr>
      <w:rPr>
        <w:rFonts w:ascii="Symbol" w:hAnsi="Symbol" w:cs="Symbol" w:hint="default"/>
      </w:rPr>
    </w:lvl>
    <w:lvl w:ilvl="4">
      <w:start w:val="1"/>
      <w:numFmt w:val="bullet"/>
      <w:lvlText w:val="o"/>
      <w:lvlJc w:val="left"/>
      <w:pPr>
        <w:tabs>
          <w:tab w:val="num" w:pos="0"/>
        </w:tabs>
        <w:ind w:left="4876" w:hanging="360"/>
      </w:pPr>
      <w:rPr>
        <w:rFonts w:ascii="Courier New" w:hAnsi="Courier New" w:cs="Courier New" w:hint="default"/>
      </w:rPr>
    </w:lvl>
    <w:lvl w:ilvl="5">
      <w:start w:val="1"/>
      <w:numFmt w:val="bullet"/>
      <w:lvlText w:val=""/>
      <w:lvlJc w:val="left"/>
      <w:pPr>
        <w:tabs>
          <w:tab w:val="num" w:pos="0"/>
        </w:tabs>
        <w:ind w:left="5596" w:hanging="360"/>
      </w:pPr>
      <w:rPr>
        <w:rFonts w:ascii="Wingdings" w:hAnsi="Wingdings" w:cs="Wingdings" w:hint="default"/>
      </w:rPr>
    </w:lvl>
    <w:lvl w:ilvl="6">
      <w:start w:val="1"/>
      <w:numFmt w:val="bullet"/>
      <w:lvlText w:val=""/>
      <w:lvlJc w:val="left"/>
      <w:pPr>
        <w:tabs>
          <w:tab w:val="num" w:pos="0"/>
        </w:tabs>
        <w:ind w:left="6316" w:hanging="360"/>
      </w:pPr>
      <w:rPr>
        <w:rFonts w:ascii="Symbol" w:hAnsi="Symbol" w:cs="Symbol" w:hint="default"/>
      </w:rPr>
    </w:lvl>
    <w:lvl w:ilvl="7">
      <w:start w:val="1"/>
      <w:numFmt w:val="bullet"/>
      <w:lvlText w:val="o"/>
      <w:lvlJc w:val="left"/>
      <w:pPr>
        <w:tabs>
          <w:tab w:val="num" w:pos="0"/>
        </w:tabs>
        <w:ind w:left="7036" w:hanging="360"/>
      </w:pPr>
      <w:rPr>
        <w:rFonts w:ascii="Courier New" w:hAnsi="Courier New" w:cs="Courier New" w:hint="default"/>
      </w:rPr>
    </w:lvl>
    <w:lvl w:ilvl="8">
      <w:start w:val="1"/>
      <w:numFmt w:val="bullet"/>
      <w:lvlText w:val=""/>
      <w:lvlJc w:val="left"/>
      <w:pPr>
        <w:tabs>
          <w:tab w:val="num" w:pos="0"/>
        </w:tabs>
        <w:ind w:left="7756" w:hanging="360"/>
      </w:pPr>
      <w:rPr>
        <w:rFonts w:ascii="Wingdings" w:hAnsi="Wingdings" w:cs="Wingdings" w:hint="default"/>
      </w:rPr>
    </w:lvl>
  </w:abstractNum>
  <w:abstractNum w:abstractNumId="9">
    <w:lvl w:ilvl="0">
      <w:start w:val="1"/>
      <w:numFmt w:val="bullet"/>
      <w:lvlText w:val=""/>
      <w:lvlJc w:val="left"/>
      <w:pPr>
        <w:tabs>
          <w:tab w:val="num" w:pos="0"/>
        </w:tabs>
        <w:ind w:left="1854" w:hanging="360"/>
      </w:pPr>
      <w:rPr>
        <w:rFonts w:ascii="Symbol" w:hAnsi="Symbol" w:cs="Symbol" w:hint="default"/>
      </w:rPr>
    </w:lvl>
    <w:lvl w:ilvl="1">
      <w:start w:val="1"/>
      <w:numFmt w:val="bullet"/>
      <w:lvlText w:val="o"/>
      <w:lvlJc w:val="left"/>
      <w:pPr>
        <w:tabs>
          <w:tab w:val="num" w:pos="0"/>
        </w:tabs>
        <w:ind w:left="2574" w:hanging="360"/>
      </w:pPr>
      <w:rPr>
        <w:rFonts w:ascii="Courier New" w:hAnsi="Courier New" w:cs="Courier New" w:hint="default"/>
      </w:rPr>
    </w:lvl>
    <w:lvl w:ilvl="2">
      <w:start w:val="1"/>
      <w:numFmt w:val="bullet"/>
      <w:lvlText w:val=""/>
      <w:lvlJc w:val="left"/>
      <w:pPr>
        <w:tabs>
          <w:tab w:val="num" w:pos="0"/>
        </w:tabs>
        <w:ind w:left="3294" w:hanging="360"/>
      </w:pPr>
      <w:rPr>
        <w:rFonts w:ascii="Wingdings" w:hAnsi="Wingdings" w:cs="Wingdings" w:hint="default"/>
      </w:rPr>
    </w:lvl>
    <w:lvl w:ilvl="3">
      <w:start w:val="1"/>
      <w:numFmt w:val="bullet"/>
      <w:lvlText w:val=""/>
      <w:lvlJc w:val="left"/>
      <w:pPr>
        <w:tabs>
          <w:tab w:val="num" w:pos="0"/>
        </w:tabs>
        <w:ind w:left="4014" w:hanging="360"/>
      </w:pPr>
      <w:rPr>
        <w:rFonts w:ascii="Symbol" w:hAnsi="Symbol" w:cs="Symbol" w:hint="default"/>
      </w:rPr>
    </w:lvl>
    <w:lvl w:ilvl="4">
      <w:start w:val="1"/>
      <w:numFmt w:val="bullet"/>
      <w:lvlText w:val="o"/>
      <w:lvlJc w:val="left"/>
      <w:pPr>
        <w:tabs>
          <w:tab w:val="num" w:pos="0"/>
        </w:tabs>
        <w:ind w:left="4734" w:hanging="360"/>
      </w:pPr>
      <w:rPr>
        <w:rFonts w:ascii="Courier New" w:hAnsi="Courier New" w:cs="Courier New" w:hint="default"/>
      </w:rPr>
    </w:lvl>
    <w:lvl w:ilvl="5">
      <w:start w:val="1"/>
      <w:numFmt w:val="bullet"/>
      <w:lvlText w:val=""/>
      <w:lvlJc w:val="left"/>
      <w:pPr>
        <w:tabs>
          <w:tab w:val="num" w:pos="0"/>
        </w:tabs>
        <w:ind w:left="5454" w:hanging="360"/>
      </w:pPr>
      <w:rPr>
        <w:rFonts w:ascii="Wingdings" w:hAnsi="Wingdings" w:cs="Wingdings" w:hint="default"/>
      </w:rPr>
    </w:lvl>
    <w:lvl w:ilvl="6">
      <w:start w:val="1"/>
      <w:numFmt w:val="bullet"/>
      <w:lvlText w:val=""/>
      <w:lvlJc w:val="left"/>
      <w:pPr>
        <w:tabs>
          <w:tab w:val="num" w:pos="0"/>
        </w:tabs>
        <w:ind w:left="6174" w:hanging="360"/>
      </w:pPr>
      <w:rPr>
        <w:rFonts w:ascii="Symbol" w:hAnsi="Symbol" w:cs="Symbol" w:hint="default"/>
      </w:rPr>
    </w:lvl>
    <w:lvl w:ilvl="7">
      <w:start w:val="1"/>
      <w:numFmt w:val="bullet"/>
      <w:lvlText w:val="o"/>
      <w:lvlJc w:val="left"/>
      <w:pPr>
        <w:tabs>
          <w:tab w:val="num" w:pos="0"/>
        </w:tabs>
        <w:ind w:left="6894" w:hanging="360"/>
      </w:pPr>
      <w:rPr>
        <w:rFonts w:ascii="Courier New" w:hAnsi="Courier New" w:cs="Courier New" w:hint="default"/>
      </w:rPr>
    </w:lvl>
    <w:lvl w:ilvl="8">
      <w:start w:val="1"/>
      <w:numFmt w:val="bullet"/>
      <w:lvlText w:val=""/>
      <w:lvlJc w:val="left"/>
      <w:pPr>
        <w:tabs>
          <w:tab w:val="num" w:pos="0"/>
        </w:tabs>
        <w:ind w:left="7614" w:hanging="360"/>
      </w:pPr>
      <w:rPr>
        <w:rFonts w:ascii="Wingdings" w:hAnsi="Wingdings" w:cs="Wingdings" w:hint="default"/>
      </w:rPr>
    </w:lvl>
  </w:abstractNum>
  <w:abstractNum w:abstractNumId="10">
    <w:lvl w:ilvl="0">
      <w:start w:val="1"/>
      <w:numFmt w:val="bullet"/>
      <w:lvlText w:val=""/>
      <w:lvlJc w:val="left"/>
      <w:pPr>
        <w:tabs>
          <w:tab w:val="num" w:pos="0"/>
        </w:tabs>
        <w:ind w:left="1506" w:hanging="360"/>
      </w:pPr>
      <w:rPr>
        <w:rFonts w:ascii="Symbol" w:hAnsi="Symbol" w:cs="Symbol" w:hint="default"/>
      </w:rPr>
    </w:lvl>
    <w:lvl w:ilvl="1">
      <w:start w:val="1"/>
      <w:numFmt w:val="bullet"/>
      <w:lvlText w:val="o"/>
      <w:lvlJc w:val="left"/>
      <w:pPr>
        <w:tabs>
          <w:tab w:val="num" w:pos="0"/>
        </w:tabs>
        <w:ind w:left="2226" w:hanging="360"/>
      </w:pPr>
      <w:rPr>
        <w:rFonts w:ascii="Courier New" w:hAnsi="Courier New" w:cs="Courier New" w:hint="default"/>
      </w:rPr>
    </w:lvl>
    <w:lvl w:ilvl="2">
      <w:start w:val="1"/>
      <w:numFmt w:val="bullet"/>
      <w:lvlText w:val=""/>
      <w:lvlJc w:val="left"/>
      <w:pPr>
        <w:tabs>
          <w:tab w:val="num" w:pos="0"/>
        </w:tabs>
        <w:ind w:left="2946" w:hanging="360"/>
      </w:pPr>
      <w:rPr>
        <w:rFonts w:ascii="Wingdings" w:hAnsi="Wingdings" w:cs="Wingdings" w:hint="default"/>
      </w:rPr>
    </w:lvl>
    <w:lvl w:ilvl="3">
      <w:start w:val="1"/>
      <w:numFmt w:val="bullet"/>
      <w:lvlText w:val=""/>
      <w:lvlJc w:val="left"/>
      <w:pPr>
        <w:tabs>
          <w:tab w:val="num" w:pos="0"/>
        </w:tabs>
        <w:ind w:left="3666" w:hanging="360"/>
      </w:pPr>
      <w:rPr>
        <w:rFonts w:ascii="Symbol" w:hAnsi="Symbol" w:cs="Symbol" w:hint="default"/>
      </w:rPr>
    </w:lvl>
    <w:lvl w:ilvl="4">
      <w:start w:val="1"/>
      <w:numFmt w:val="bullet"/>
      <w:lvlText w:val="o"/>
      <w:lvlJc w:val="left"/>
      <w:pPr>
        <w:tabs>
          <w:tab w:val="num" w:pos="0"/>
        </w:tabs>
        <w:ind w:left="4386" w:hanging="360"/>
      </w:pPr>
      <w:rPr>
        <w:rFonts w:ascii="Courier New" w:hAnsi="Courier New" w:cs="Courier New" w:hint="default"/>
      </w:rPr>
    </w:lvl>
    <w:lvl w:ilvl="5">
      <w:start w:val="1"/>
      <w:numFmt w:val="bullet"/>
      <w:lvlText w:val=""/>
      <w:lvlJc w:val="left"/>
      <w:pPr>
        <w:tabs>
          <w:tab w:val="num" w:pos="0"/>
        </w:tabs>
        <w:ind w:left="5106" w:hanging="360"/>
      </w:pPr>
      <w:rPr>
        <w:rFonts w:ascii="Wingdings" w:hAnsi="Wingdings" w:cs="Wingdings" w:hint="default"/>
      </w:rPr>
    </w:lvl>
    <w:lvl w:ilvl="6">
      <w:start w:val="1"/>
      <w:numFmt w:val="bullet"/>
      <w:lvlText w:val=""/>
      <w:lvlJc w:val="left"/>
      <w:pPr>
        <w:tabs>
          <w:tab w:val="num" w:pos="0"/>
        </w:tabs>
        <w:ind w:left="5826" w:hanging="360"/>
      </w:pPr>
      <w:rPr>
        <w:rFonts w:ascii="Symbol" w:hAnsi="Symbol" w:cs="Symbol" w:hint="default"/>
      </w:rPr>
    </w:lvl>
    <w:lvl w:ilvl="7">
      <w:start w:val="1"/>
      <w:numFmt w:val="bullet"/>
      <w:lvlText w:val="o"/>
      <w:lvlJc w:val="left"/>
      <w:pPr>
        <w:tabs>
          <w:tab w:val="num" w:pos="0"/>
        </w:tabs>
        <w:ind w:left="6546" w:hanging="360"/>
      </w:pPr>
      <w:rPr>
        <w:rFonts w:ascii="Courier New" w:hAnsi="Courier New" w:cs="Courier New" w:hint="default"/>
      </w:rPr>
    </w:lvl>
    <w:lvl w:ilvl="8">
      <w:start w:val="1"/>
      <w:numFmt w:val="bullet"/>
      <w:lvlText w:val=""/>
      <w:lvlJc w:val="left"/>
      <w:pPr>
        <w:tabs>
          <w:tab w:val="num" w:pos="0"/>
        </w:tabs>
        <w:ind w:left="7266" w:hanging="360"/>
      </w:pPr>
      <w:rPr>
        <w:rFonts w:ascii="Wingdings" w:hAnsi="Wingdings" w:cs="Wingdings" w:hint="default"/>
      </w:rPr>
    </w:lvl>
  </w:abstractNum>
  <w:abstractNum w:abstractNumId="1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w="http://schemas.openxmlformats.org/wordprocessingml/2006/main">
  <w:zoom w:percent="90"/>
  <w:defaultTabStop w:val="708"/>
  <w:autoHyphenation w:val="true"/>
  <w:hyphenationZone w:val="0"/>
  <w:compat>
    <w:compatSetting w:name="compatibilityMode" w:uri="http://schemas.microsoft.com/office/word" w:val="12"/>
  </w:compat>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82a3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Hyperlink">
    <w:name w:val="Hyperlink"/>
    <w:basedOn w:val="DefaultParagraphFont"/>
    <w:uiPriority w:val="99"/>
    <w:unhideWhenUsed/>
    <w:rsid w:val="0008182b"/>
    <w:rPr>
      <w:color w:themeColor="hyperlink" w:val="0563C1"/>
      <w:u w:val="single"/>
    </w:rPr>
  </w:style>
  <w:style w:type="character" w:styleId="UnresolvedMention" w:customStyle="1">
    <w:name w:val="Unresolved Mention"/>
    <w:basedOn w:val="DefaultParagraphFont"/>
    <w:uiPriority w:val="99"/>
    <w:semiHidden/>
    <w:unhideWhenUsed/>
    <w:qFormat/>
    <w:rsid w:val="0008182b"/>
    <w:rPr>
      <w:color w:val="605E5C"/>
      <w:shd w:fill="E1DFDD" w:val="clear"/>
    </w:rPr>
  </w:style>
  <w:style w:type="character" w:styleId="FollowedHyperlink">
    <w:name w:val="FollowedHyperlink"/>
    <w:basedOn w:val="DefaultParagraphFont"/>
    <w:uiPriority w:val="99"/>
    <w:semiHidden/>
    <w:unhideWhenUsed/>
    <w:rsid w:val="0008182b"/>
    <w:rPr>
      <w:color w:themeColor="followedHyperlink" w:val="954F72"/>
      <w:u w:val="single"/>
    </w:rPr>
  </w:style>
  <w:style w:type="character" w:styleId="semibold" w:customStyle="1">
    <w:name w:val="semibold"/>
    <w:basedOn w:val="DefaultParagraphFont"/>
    <w:qFormat/>
    <w:rsid w:val="006a0edd"/>
    <w:rPr/>
  </w:style>
  <w:style w:type="character" w:styleId="TekstdymkaZnak" w:customStyle="1">
    <w:name w:val="Tekst dymka Znak"/>
    <w:basedOn w:val="DefaultParagraphFont"/>
    <w:link w:val="BalloonText"/>
    <w:uiPriority w:val="99"/>
    <w:semiHidden/>
    <w:qFormat/>
    <w:rsid w:val="00a719db"/>
    <w:rPr>
      <w:rFonts w:ascii="Segoe UI" w:hAnsi="Segoe UI" w:cs="Segoe UI"/>
      <w:sz w:val="18"/>
      <w:szCs w:val="18"/>
    </w:rPr>
  </w:style>
  <w:style w:type="character" w:styleId="AkapitzlistZnak" w:customStyle="1">
    <w:name w:val="Akapit z listą Znak"/>
    <w:link w:val="ListParagraph"/>
    <w:uiPriority w:val="99"/>
    <w:qFormat/>
    <w:locked/>
    <w:rsid w:val="003b5b02"/>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rPr>
  </w:style>
  <w:style w:type="paragraph" w:styleId="ListParagraph">
    <w:name w:val="List Paragraph"/>
    <w:basedOn w:val="Normal"/>
    <w:link w:val="AkapitzlistZnak"/>
    <w:uiPriority w:val="34"/>
    <w:qFormat/>
    <w:rsid w:val="007638bf"/>
    <w:pPr>
      <w:spacing w:before="0" w:after="160"/>
      <w:ind w:left="720"/>
      <w:contextualSpacing/>
    </w:pPr>
    <w:rPr/>
  </w:style>
  <w:style w:type="paragraph" w:styleId="NormalWeb">
    <w:name w:val="Normal (Web)"/>
    <w:basedOn w:val="Normal"/>
    <w:uiPriority w:val="99"/>
    <w:semiHidden/>
    <w:unhideWhenUsed/>
    <w:qFormat/>
    <w:rsid w:val="006a0edd"/>
    <w:pPr>
      <w:spacing w:lineRule="auto" w:line="240" w:beforeAutospacing="1" w:afterAutospacing="1"/>
    </w:pPr>
    <w:rPr>
      <w:rFonts w:ascii="Times New Roman" w:hAnsi="Times New Roman" w:eastAsia="Times New Roman" w:cs="Times New Roman"/>
      <w:sz w:val="24"/>
      <w:szCs w:val="24"/>
      <w:lang w:eastAsia="pl-PL"/>
    </w:rPr>
  </w:style>
  <w:style w:type="paragraph" w:styleId="BalloonText">
    <w:name w:val="Balloon Text"/>
    <w:basedOn w:val="Normal"/>
    <w:link w:val="TekstdymkaZnak"/>
    <w:uiPriority w:val="99"/>
    <w:semiHidden/>
    <w:unhideWhenUsed/>
    <w:qFormat/>
    <w:rsid w:val="00a719db"/>
    <w:pPr>
      <w:spacing w:lineRule="auto" w:line="240" w:before="0" w:after="0"/>
    </w:pPr>
    <w:rPr>
      <w:rFonts w:ascii="Segoe UI" w:hAnsi="Segoe UI" w:cs="Segoe UI"/>
      <w:sz w:val="18"/>
      <w:szCs w:val="18"/>
    </w:rPr>
  </w:style>
  <w:style w:type="numbering" w:styleId="Bezlisty" w:default="1">
    <w:name w:val="Bez listy"/>
    <w:uiPriority w:val="99"/>
    <w:semiHidden/>
    <w:unhideWhenUsed/>
    <w:qFormat/>
  </w:style>
  <w:style w:type="table" w:default="1" w:styleId="Standardowy">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zgloszenie@rz.policja.gov.pl" TargetMode="External"/><Relationship Id="rId3" Type="http://schemas.openxmlformats.org/officeDocument/2006/relationships/hyperlink" Target="mailto:zgloszenie@rz.policja.gov.pl" TargetMode="External"/><Relationship Id="rId4" Type="http://schemas.openxmlformats.org/officeDocument/2006/relationships/hyperlink" Target="https://podkarpacka.bip.policja.gov.pl/download/41/139355/ProcedurazgloszenwewnetrznychwKWPRzeszowieOPPwRzeszowieiSPKPwRzeszowie.pdf" TargetMode="External"/><Relationship Id="rId5" Type="http://schemas.openxmlformats.org/officeDocument/2006/relationships/hyperlink" Target="https://sip.legalis.pl/document-view.seam?documentId=mfrxilrtg4ytsmrzgq4dmltqmfyc4nrzgqyteojsge&amp;refSource=hyp" TargetMode="External"/><Relationship Id="rId6" Type="http://schemas.openxmlformats.org/officeDocument/2006/relationships/hyperlink" Target="https://sip.legalis.pl/document-view.seam?documentId=mfrxilrtg4ytsmrzgq4dmltqmfyc4nrzgqyteobrgq&amp;refSource=hyp" TargetMode="External"/><Relationship Id="rId7" Type="http://schemas.openxmlformats.org/officeDocument/2006/relationships/hyperlink" Target="https://sip.legalis.pl/document-view.seam?documentId=mfrxilrtg4ytsmzsgmytqltqmfyc4nrzguytaojqgq&amp;refSource=hyp" TargetMode="External"/><Relationship Id="rId8" Type="http://schemas.openxmlformats.org/officeDocument/2006/relationships/hyperlink" Target="https://sip.legalis.pl/document-view.seam?documentId=mfrxilrtg4ytonrvgq4teltqmfyc4nrtha4tgnrzgi&amp;refSource=hyp" TargetMode="External"/><Relationship Id="rId9" Type="http://schemas.openxmlformats.org/officeDocument/2006/relationships/hyperlink" Target="https://sip.legalis.pl/document-view.seam?documentId=mfrxilrtg4ytanzxgi3tcltqmfyc4nbrguzdqmjwgq&amp;refSource=hyp" TargetMode="Externa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1E073-2955-46C4-98D9-719CA0AAFA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Application>LibreOffice/24.8.4.2$Windows_X86_64 LibreOffice_project/bb3cfa12c7b1bf994ecc5649a80400d06cd71002</Application>
  <AppVersion>15.0000</AppVersion>
  <Pages>6</Pages>
  <Words>1930</Words>
  <Characters>13190</Characters>
  <CharactersWithSpaces>15059</CharactersWithSpaces>
  <Paragraphs>69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2024-12-24T09:43:00Z</dcterms:created>
  <dc:creator>Paweł Nowak</dc:creator>
  <dc:description/>
  <dc:language>pl-PL</dc:language>
  <cp:lastModifiedBy/>
  <cp:lastPrinted>2024-12-20T09:28:00Z</cp:lastPrinted>
  <dcterms:modified xsi:type="dcterms:W3CDTF">2025-02-25T14:09:03Z</dcterms:modified>
  <cp:revision>3</cp:revision>
  <dc:subject/>
  <dc:title/>
</cp:coreProperties>
</file>

<file path=docProps/custom.xml><?xml version="1.0" encoding="utf-8"?>
<Properties xmlns="http://schemas.openxmlformats.org/officeDocument/2006/custom-properties" xmlns:vt="http://schemas.openxmlformats.org/officeDocument/2006/docPropsVTypes"/>
</file>